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F5AF">
      <w:pPr>
        <w:pStyle w:val="17"/>
        <w:spacing w:line="360" w:lineRule="auto"/>
        <w:ind w:firstLine="0" w:firstLineChars="0"/>
        <w:outlineLvl w:val="0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Toc140842845"/>
      <w:r>
        <w:rPr>
          <w:rFonts w:hint="eastAsia" w:ascii="宋体" w:hAnsi="宋体" w:eastAsia="宋体"/>
          <w:b/>
          <w:bCs/>
          <w:sz w:val="28"/>
          <w:szCs w:val="28"/>
        </w:rPr>
        <w:t>1. 填报拟销售价格</w:t>
      </w:r>
      <w:bookmarkEnd w:id="0"/>
    </w:p>
    <w:p w14:paraId="208F0BE5">
      <w:pPr>
        <w:pStyle w:val="17"/>
        <w:spacing w:line="360" w:lineRule="auto"/>
        <w:ind w:firstLine="0" w:firstLineChars="0"/>
        <w:outlineLvl w:val="2"/>
        <w:rPr>
          <w:rFonts w:hint="eastAsia" w:ascii="宋体" w:hAnsi="宋体" w:eastAsia="宋体"/>
          <w:b/>
          <w:sz w:val="24"/>
          <w:szCs w:val="24"/>
        </w:rPr>
      </w:pPr>
      <w:bookmarkStart w:id="1" w:name="_Toc140842847"/>
      <w:r>
        <w:rPr>
          <w:rFonts w:hint="eastAsia" w:ascii="宋体" w:hAnsi="宋体" w:eastAsia="宋体"/>
          <w:b/>
          <w:sz w:val="24"/>
          <w:szCs w:val="24"/>
        </w:rPr>
        <w:t>1.1.1功能描述</w:t>
      </w:r>
      <w:bookmarkEnd w:id="1"/>
    </w:p>
    <w:p w14:paraId="2AC821CA">
      <w:pPr>
        <w:spacing w:line="360" w:lineRule="auto"/>
        <w:ind w:left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用户在此进行填报拟</w:t>
      </w:r>
      <w:r>
        <w:rPr>
          <w:rFonts w:hint="eastAsia" w:ascii="宋体" w:hAnsi="宋体" w:eastAsia="宋体"/>
          <w:lang w:val="en-US" w:eastAsia="zh-CN"/>
        </w:rPr>
        <w:t>挂网</w:t>
      </w:r>
      <w:r>
        <w:rPr>
          <w:rFonts w:hint="eastAsia" w:ascii="宋体" w:hAnsi="宋体" w:eastAsia="宋体"/>
        </w:rPr>
        <w:t>价格的操作。</w:t>
      </w:r>
    </w:p>
    <w:p w14:paraId="26B9D774">
      <w:pPr>
        <w:pStyle w:val="17"/>
        <w:spacing w:line="360" w:lineRule="auto"/>
        <w:ind w:firstLine="0" w:firstLineChars="0"/>
        <w:outlineLvl w:val="2"/>
        <w:rPr>
          <w:rFonts w:hint="eastAsia" w:ascii="宋体" w:hAnsi="宋体" w:eastAsia="宋体"/>
          <w:b/>
          <w:sz w:val="24"/>
          <w:szCs w:val="24"/>
        </w:rPr>
      </w:pPr>
      <w:bookmarkStart w:id="2" w:name="_Toc140842849"/>
      <w:r>
        <w:rPr>
          <w:rFonts w:hint="eastAsia" w:ascii="宋体" w:hAnsi="宋体" w:eastAsia="宋体"/>
          <w:b/>
          <w:sz w:val="24"/>
          <w:szCs w:val="24"/>
        </w:rPr>
        <w:t>1.1.2操作流程</w:t>
      </w:r>
      <w:bookmarkEnd w:id="2"/>
    </w:p>
    <w:p w14:paraId="2C97CA99">
      <w:pPr>
        <w:pStyle w:val="17"/>
        <w:spacing w:line="360" w:lineRule="auto"/>
        <w:ind w:left="420" w:leftChars="200" w:firstLine="0" w:firstLineChars="0"/>
        <w:rPr>
          <w:rFonts w:hint="eastAsia" w:ascii="宋体" w:hAnsi="宋体" w:eastAsia="宋体"/>
        </w:rPr>
      </w:pPr>
      <w:bookmarkStart w:id="3" w:name="_Toc23688"/>
      <w:r>
        <w:rPr>
          <w:rFonts w:hint="eastAsia" w:ascii="宋体" w:hAnsi="宋体" w:eastAsia="宋体"/>
        </w:rPr>
        <w:t>1）报价界面默认展示本次企业相关产品，企业可在报价阶段进行报价操作，可在选定供应药品状态栏下进行选择供应操作</w:t>
      </w:r>
      <w:bookmarkEnd w:id="3"/>
      <w:r>
        <w:rPr>
          <w:rFonts w:hint="eastAsia" w:ascii="宋体" w:hAnsi="宋体" w:eastAsia="宋体"/>
        </w:rPr>
        <w:t>。</w:t>
      </w:r>
    </w:p>
    <w:p w14:paraId="56441590">
      <w:pPr>
        <w:pStyle w:val="17"/>
        <w:spacing w:line="360" w:lineRule="auto"/>
        <w:ind w:firstLineChars="0"/>
        <w:rPr>
          <w:rFonts w:hint="eastAsia" w:ascii="宋体" w:hAnsi="宋体" w:eastAsia="宋体"/>
        </w:rPr>
      </w:pPr>
      <w:bookmarkStart w:id="4" w:name="_Toc31169"/>
      <w:r>
        <w:rPr>
          <w:rFonts w:hint="eastAsia" w:ascii="宋体" w:hAnsi="宋体" w:eastAsia="宋体"/>
        </w:rPr>
        <w:t>如图所示</w:t>
      </w:r>
      <w:bookmarkEnd w:id="4"/>
      <w:r>
        <w:rPr>
          <w:rFonts w:hint="eastAsia" w:ascii="宋体" w:hAnsi="宋体" w:eastAsia="宋体"/>
        </w:rPr>
        <w:t>：</w:t>
      </w:r>
    </w:p>
    <w:p w14:paraId="4FF24054">
      <w:pPr>
        <w:pStyle w:val="17"/>
        <w:spacing w:line="360" w:lineRule="auto"/>
        <w:ind w:firstLineChars="0"/>
        <w:jc w:val="center"/>
        <w:rPr>
          <w:rFonts w:hint="eastAsia" w:ascii="宋体" w:hAnsi="宋体" w:eastAsia="宋体"/>
        </w:rPr>
      </w:pPr>
      <w:bookmarkStart w:id="13" w:name="_GoBack"/>
      <w:r>
        <w:drawing>
          <wp:inline distT="0" distB="0" distL="0" distR="0">
            <wp:extent cx="5274310" cy="4674235"/>
            <wp:effectExtent l="0" t="0" r="2540" b="0"/>
            <wp:docPr id="903762960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62960" name="图片 1" descr="日历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 w14:paraId="2E11B43F">
      <w:pPr>
        <w:pStyle w:val="17"/>
        <w:spacing w:line="360" w:lineRule="auto"/>
        <w:ind w:left="420" w:leftChars="200" w:firstLine="0" w:firstLineChars="0"/>
        <w:rPr>
          <w:rFonts w:hint="eastAsia" w:ascii="宋体" w:hAnsi="宋体" w:eastAsia="宋体"/>
        </w:rPr>
      </w:pPr>
      <w:bookmarkStart w:id="5" w:name="_Toc15383"/>
      <w:r>
        <w:rPr>
          <w:rFonts w:hint="eastAsia" w:ascii="宋体" w:hAnsi="宋体" w:eastAsia="宋体"/>
        </w:rPr>
        <w:t>2）报价操作：药品分类为其他药品的，价格填报方式可选择差比价计算或企业自行填报；其余类别药品，价格填报方式仅限差比价计算。如下图所示：</w:t>
      </w:r>
    </w:p>
    <w:p w14:paraId="4C4BFB4B">
      <w:pPr>
        <w:pStyle w:val="17"/>
        <w:spacing w:line="360" w:lineRule="auto"/>
        <w:ind w:left="420" w:leftChars="200" w:firstLine="0" w:firstLineChars="0"/>
        <w:rPr>
          <w:rFonts w:hint="eastAsia" w:ascii="宋体" w:hAnsi="宋体" w:eastAsia="宋体"/>
        </w:rPr>
      </w:pPr>
      <w:r>
        <w:drawing>
          <wp:inline distT="0" distB="0" distL="0" distR="0">
            <wp:extent cx="3390265" cy="5485130"/>
            <wp:effectExtent l="0" t="0" r="635" b="1270"/>
            <wp:docPr id="1874361260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61260" name="图片 1" descr="图表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476" cy="5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E31A5">
      <w:pPr>
        <w:pStyle w:val="17"/>
        <w:spacing w:line="360" w:lineRule="auto"/>
        <w:ind w:left="420" w:leftChars="20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如选择差比价计算：报价界面按组展示同通用名下所有相关产品信息，企业只需在同组中选择一条产品信息进行选择报价药品操作。</w:t>
      </w:r>
      <w:bookmarkEnd w:id="5"/>
    </w:p>
    <w:p w14:paraId="0FE364FB">
      <w:pPr>
        <w:pStyle w:val="17"/>
        <w:spacing w:line="360" w:lineRule="auto"/>
        <w:ind w:firstLineChars="0"/>
        <w:rPr>
          <w:rFonts w:hint="eastAsia" w:ascii="宋体" w:hAnsi="宋体" w:eastAsia="宋体"/>
        </w:rPr>
      </w:pPr>
      <w:bookmarkStart w:id="6" w:name="_Toc175"/>
      <w:r>
        <w:rPr>
          <w:rFonts w:hint="eastAsia" w:ascii="宋体" w:hAnsi="宋体" w:eastAsia="宋体"/>
        </w:rPr>
        <w:t>如图所示</w:t>
      </w:r>
      <w:bookmarkEnd w:id="6"/>
      <w:r>
        <w:rPr>
          <w:rFonts w:hint="eastAsia" w:ascii="宋体" w:hAnsi="宋体" w:eastAsia="宋体"/>
        </w:rPr>
        <w:t>:</w:t>
      </w:r>
    </w:p>
    <w:p w14:paraId="21A5A317">
      <w:pPr>
        <w:pStyle w:val="17"/>
        <w:spacing w:line="360" w:lineRule="auto"/>
        <w:ind w:firstLine="0" w:firstLineChars="0"/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</w:t>
      </w:r>
      <w:r>
        <w:drawing>
          <wp:inline distT="0" distB="0" distL="0" distR="0">
            <wp:extent cx="5274310" cy="4284345"/>
            <wp:effectExtent l="0" t="0" r="2540" b="1905"/>
            <wp:docPr id="279219295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19295" name="图片 1" descr="日历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5E6A5">
      <w:pPr>
        <w:pStyle w:val="17"/>
        <w:spacing w:line="360" w:lineRule="auto"/>
        <w:ind w:left="420" w:leftChars="200" w:firstLine="0" w:firstLineChars="0"/>
        <w:rPr>
          <w:rFonts w:hint="eastAsia" w:ascii="宋体" w:hAnsi="宋体" w:eastAsia="宋体"/>
        </w:rPr>
      </w:pPr>
      <w:bookmarkStart w:id="7" w:name="_Toc25416"/>
      <w:r>
        <w:rPr>
          <w:rFonts w:hint="eastAsia" w:ascii="宋体" w:hAnsi="宋体" w:eastAsia="宋体"/>
        </w:rPr>
        <w:t>选择报价药品操作圆圈后，企业在后面价格列，按照不高于报价上限原则进行价格填报，填报完成后确认提交。</w:t>
      </w:r>
      <w:bookmarkEnd w:id="7"/>
    </w:p>
    <w:p w14:paraId="29E2A995">
      <w:pPr>
        <w:pStyle w:val="17"/>
        <w:tabs>
          <w:tab w:val="left" w:pos="769"/>
        </w:tabs>
        <w:spacing w:line="360" w:lineRule="auto"/>
        <w:ind w:left="420" w:leftChars="200" w:firstLine="0" w:firstLineChars="0"/>
        <w:jc w:val="left"/>
        <w:rPr>
          <w:rFonts w:hint="eastAsia" w:ascii="宋体" w:hAnsi="宋体" w:eastAsia="宋体"/>
        </w:rPr>
      </w:pPr>
      <w:bookmarkStart w:id="8" w:name="_Toc17018"/>
      <w:r>
        <w:rPr>
          <w:rFonts w:hint="eastAsia" w:ascii="宋体" w:hAnsi="宋体" w:eastAsia="宋体"/>
        </w:rPr>
        <w:t>同组中一条产品报价提交后，其他规格包装产品，将同步展示完成差比后的价格，并更新状态。</w:t>
      </w:r>
      <w:bookmarkEnd w:id="8"/>
    </w:p>
    <w:p w14:paraId="431ECE3E">
      <w:pPr>
        <w:pStyle w:val="17"/>
        <w:tabs>
          <w:tab w:val="left" w:pos="769"/>
        </w:tabs>
        <w:spacing w:line="360" w:lineRule="auto"/>
        <w:ind w:left="420" w:leftChars="200" w:firstLine="0" w:firstLineChars="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如图所示：</w:t>
      </w:r>
    </w:p>
    <w:p w14:paraId="2B85B288">
      <w:pPr>
        <w:pStyle w:val="17"/>
        <w:tabs>
          <w:tab w:val="left" w:pos="769"/>
        </w:tabs>
        <w:spacing w:line="360" w:lineRule="auto"/>
        <w:ind w:left="420" w:leftChars="200" w:firstLine="0" w:firstLineChars="0"/>
        <w:jc w:val="left"/>
        <w:rPr>
          <w:rFonts w:hint="eastAsia" w:ascii="宋体" w:hAnsi="宋体" w:eastAsia="宋体"/>
        </w:rPr>
      </w:pPr>
      <w:r>
        <w:drawing>
          <wp:inline distT="0" distB="0" distL="0" distR="0">
            <wp:extent cx="5274310" cy="3720465"/>
            <wp:effectExtent l="0" t="0" r="2540" b="0"/>
            <wp:docPr id="530962704" name="图片 1" descr="表格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62704" name="图片 1" descr="表格&#10;&#10;低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86C0">
      <w:pPr>
        <w:pStyle w:val="17"/>
        <w:tabs>
          <w:tab w:val="left" w:pos="769"/>
        </w:tabs>
        <w:spacing w:line="360" w:lineRule="auto"/>
        <w:ind w:left="420" w:leftChars="200" w:firstLine="0" w:firstLineChars="0"/>
        <w:jc w:val="left"/>
        <w:rPr>
          <w:rFonts w:hint="eastAsia" w:ascii="宋体" w:hAnsi="宋体" w:eastAsia="宋体"/>
        </w:rPr>
      </w:pPr>
      <w:bookmarkStart w:id="9" w:name="_Toc30227"/>
      <w:r>
        <w:rPr>
          <w:rFonts w:hint="eastAsia" w:ascii="宋体" w:hAnsi="宋体" w:eastAsia="宋体"/>
        </w:rPr>
        <w:t>如果存在超出报价上限的价格，在提交后则显示“</w:t>
      </w:r>
      <w:r>
        <w:rPr>
          <w:rFonts w:ascii="宋体" w:hAnsi="宋体" w:eastAsia="宋体"/>
        </w:rPr>
        <w:t>报价失败，同组有价格超过限价，请重新报价</w:t>
      </w:r>
      <w:r>
        <w:rPr>
          <w:rFonts w:hint="eastAsia" w:ascii="宋体" w:hAnsi="宋体" w:eastAsia="宋体"/>
        </w:rPr>
        <w:t>”，则报价失败，企业需重新填报价格。</w:t>
      </w:r>
      <w:bookmarkEnd w:id="9"/>
    </w:p>
    <w:p w14:paraId="7E8E7AD8">
      <w:pPr>
        <w:pStyle w:val="17"/>
        <w:tabs>
          <w:tab w:val="left" w:pos="769"/>
        </w:tabs>
        <w:spacing w:line="360" w:lineRule="auto"/>
        <w:ind w:left="420" w:leftChars="200" w:firstLine="0" w:firstLineChars="0"/>
        <w:jc w:val="left"/>
        <w:rPr>
          <w:rFonts w:hint="eastAsia" w:ascii="宋体" w:hAnsi="宋体" w:eastAsia="宋体"/>
        </w:rPr>
      </w:pPr>
      <w:bookmarkStart w:id="10" w:name="_Toc14361"/>
      <w:r>
        <w:rPr>
          <w:rFonts w:hint="eastAsia" w:ascii="宋体" w:hAnsi="宋体" w:eastAsia="宋体"/>
        </w:rPr>
        <w:t>如图所示</w:t>
      </w:r>
      <w:bookmarkEnd w:id="10"/>
      <w:r>
        <w:rPr>
          <w:rFonts w:hint="eastAsia" w:ascii="宋体" w:hAnsi="宋体" w:eastAsia="宋体"/>
        </w:rPr>
        <w:t>:</w:t>
      </w:r>
    </w:p>
    <w:p w14:paraId="6F2844F0">
      <w:pPr>
        <w:pStyle w:val="17"/>
        <w:tabs>
          <w:tab w:val="left" w:pos="769"/>
        </w:tabs>
        <w:spacing w:line="360" w:lineRule="auto"/>
        <w:ind w:left="420" w:leftChars="200" w:firstLine="0" w:firstLineChars="0"/>
        <w:jc w:val="center"/>
        <w:rPr>
          <w:rFonts w:hint="eastAsia" w:ascii="宋体" w:hAnsi="宋体" w:eastAsia="宋体"/>
        </w:rPr>
      </w:pPr>
      <w:r>
        <w:drawing>
          <wp:inline distT="0" distB="0" distL="0" distR="0">
            <wp:extent cx="5274310" cy="4811395"/>
            <wp:effectExtent l="0" t="0" r="2540" b="8255"/>
            <wp:docPr id="901695294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95294" name="图片 1" descr="日历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69340">
      <w:pPr>
        <w:pStyle w:val="17"/>
        <w:spacing w:line="360" w:lineRule="auto"/>
        <w:ind w:left="420" w:leftChars="20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如选择企业自行填报：报价界面按组展示同通用名下所有相关产品信息，企业需要填报所有供应的产品价格。</w:t>
      </w:r>
    </w:p>
    <w:p w14:paraId="1C3C00ED">
      <w:pPr>
        <w:pStyle w:val="17"/>
        <w:spacing w:line="360" w:lineRule="auto"/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如图所示:</w:t>
      </w:r>
    </w:p>
    <w:p w14:paraId="65B63F8C">
      <w:pPr>
        <w:pStyle w:val="17"/>
        <w:spacing w:line="360" w:lineRule="auto"/>
        <w:ind w:left="840" w:leftChars="400" w:firstLine="0" w:firstLineChars="0"/>
        <w:rPr>
          <w:rFonts w:hint="eastAsia" w:ascii="宋体" w:hAnsi="宋体" w:eastAsia="宋体"/>
        </w:rPr>
      </w:pPr>
      <w:r>
        <w:drawing>
          <wp:inline distT="0" distB="0" distL="0" distR="0">
            <wp:extent cx="5274310" cy="3935095"/>
            <wp:effectExtent l="0" t="0" r="2540" b="8255"/>
            <wp:docPr id="747695591" name="图片 1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95591" name="图片 1" descr="图片包含 日历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t>报价成功后，如图所示：</w:t>
      </w:r>
    </w:p>
    <w:p w14:paraId="6E198777">
      <w:pPr>
        <w:pStyle w:val="17"/>
        <w:spacing w:line="360" w:lineRule="auto"/>
        <w:ind w:left="420" w:leftChars="200" w:firstLineChars="0"/>
        <w:rPr>
          <w:rFonts w:hint="eastAsia" w:ascii="宋体" w:hAnsi="宋体" w:eastAsia="宋体"/>
        </w:rPr>
      </w:pPr>
      <w:r>
        <w:drawing>
          <wp:inline distT="0" distB="0" distL="0" distR="0">
            <wp:extent cx="5274310" cy="3621405"/>
            <wp:effectExtent l="0" t="0" r="2540" b="0"/>
            <wp:docPr id="648432224" name="图片 1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32224" name="图片 1" descr="图片包含 图表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2C38E">
      <w:pPr>
        <w:pStyle w:val="17"/>
        <w:spacing w:line="360" w:lineRule="auto"/>
        <w:ind w:firstLine="0" w:firstLineChars="0"/>
        <w:outlineLvl w:val="2"/>
        <w:rPr>
          <w:rFonts w:hint="eastAsia" w:ascii="宋体" w:hAnsi="宋体" w:eastAsia="宋体"/>
          <w:b/>
          <w:sz w:val="24"/>
          <w:szCs w:val="24"/>
        </w:rPr>
      </w:pPr>
      <w:bookmarkStart w:id="11" w:name="_Toc140842850"/>
      <w:r>
        <w:rPr>
          <w:rFonts w:hint="eastAsia" w:ascii="宋体" w:hAnsi="宋体" w:eastAsia="宋体"/>
          <w:b/>
          <w:sz w:val="24"/>
          <w:szCs w:val="24"/>
        </w:rPr>
        <w:t>1.1.3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注</w:t>
      </w:r>
      <w:r>
        <w:rPr>
          <w:rFonts w:hint="eastAsia" w:ascii="宋体" w:hAnsi="宋体" w:eastAsia="宋体"/>
          <w:b/>
          <w:sz w:val="24"/>
          <w:szCs w:val="24"/>
        </w:rPr>
        <w:t>意事项</w:t>
      </w:r>
      <w:bookmarkEnd w:id="11"/>
    </w:p>
    <w:p w14:paraId="7C85247B">
      <w:pPr>
        <w:pStyle w:val="17"/>
        <w:spacing w:line="360" w:lineRule="auto"/>
        <w:ind w:firstLine="0" w:firstLineChars="0"/>
        <w:rPr>
          <w:rFonts w:hint="eastAsia" w:ascii="宋体" w:hAnsi="宋体" w:eastAsia="宋体"/>
          <w:bCs/>
          <w:szCs w:val="21"/>
        </w:rPr>
      </w:pPr>
      <w:bookmarkStart w:id="12" w:name="_Toc10126"/>
      <w:r>
        <w:rPr>
          <w:rFonts w:ascii="宋体" w:hAnsi="宋体" w:eastAsia="宋体"/>
          <w:bCs/>
          <w:szCs w:val="21"/>
        </w:rPr>
        <w:t>1</w:t>
      </w:r>
      <w:r>
        <w:rPr>
          <w:rFonts w:hint="eastAsia" w:ascii="宋体" w:hAnsi="宋体" w:eastAsia="宋体"/>
          <w:bCs/>
          <w:szCs w:val="21"/>
        </w:rPr>
        <w:t>）企业如对同组中某条产品，选择了不供应，同时该组已完成报价操作，后续企业想对这条产品更改成供应状态，需先将报价取消，然后重新选择供应状态，再进行报价。</w:t>
      </w:r>
      <w:bookmarkEnd w:id="12"/>
    </w:p>
    <w:p w14:paraId="3775B7FA">
      <w:pPr>
        <w:pStyle w:val="17"/>
        <w:spacing w:line="360" w:lineRule="auto"/>
        <w:ind w:firstLine="0" w:firstLineChars="0"/>
        <w:rPr>
          <w:rFonts w:hint="eastAsia"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2</w:t>
      </w:r>
      <w:r>
        <w:rPr>
          <w:rFonts w:hint="eastAsia" w:ascii="宋体" w:hAnsi="宋体" w:eastAsia="宋体"/>
          <w:bCs/>
          <w:szCs w:val="21"/>
        </w:rPr>
        <w:t>）该页面为每页展示一组产品，请关注分页条数。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DF04485">
        <w:pPr>
          <w:pStyle w:val="7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42</w:t>
        </w:r>
        <w:r>
          <w:fldChar w:fldCharType="end"/>
        </w:r>
      </w:p>
    </w:sdtContent>
  </w:sdt>
  <w:p w14:paraId="35818898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iMDZhZGE0ZDI4OTAwNTA0ZTJkY2ZkMDhjZjVjNjMifQ=="/>
  </w:docVars>
  <w:rsids>
    <w:rsidRoot w:val="00934AE9"/>
    <w:rsid w:val="00013CED"/>
    <w:rsid w:val="00016AB6"/>
    <w:rsid w:val="00021EA7"/>
    <w:rsid w:val="00034166"/>
    <w:rsid w:val="00036537"/>
    <w:rsid w:val="00046344"/>
    <w:rsid w:val="00064015"/>
    <w:rsid w:val="000666C7"/>
    <w:rsid w:val="000B0CF1"/>
    <w:rsid w:val="000C1240"/>
    <w:rsid w:val="000C422D"/>
    <w:rsid w:val="000C6331"/>
    <w:rsid w:val="000D57BA"/>
    <w:rsid w:val="000F2954"/>
    <w:rsid w:val="000F7C79"/>
    <w:rsid w:val="00105806"/>
    <w:rsid w:val="001643B8"/>
    <w:rsid w:val="00184960"/>
    <w:rsid w:val="00186EAD"/>
    <w:rsid w:val="001B5FD7"/>
    <w:rsid w:val="001C3E2E"/>
    <w:rsid w:val="001C510B"/>
    <w:rsid w:val="001C73C3"/>
    <w:rsid w:val="001D218E"/>
    <w:rsid w:val="002174B7"/>
    <w:rsid w:val="0022103C"/>
    <w:rsid w:val="00250D63"/>
    <w:rsid w:val="00280DF6"/>
    <w:rsid w:val="0028502A"/>
    <w:rsid w:val="00295ED9"/>
    <w:rsid w:val="002A7AD0"/>
    <w:rsid w:val="002B1CC6"/>
    <w:rsid w:val="002C5057"/>
    <w:rsid w:val="002D45CB"/>
    <w:rsid w:val="002D5363"/>
    <w:rsid w:val="002D76F9"/>
    <w:rsid w:val="002E3027"/>
    <w:rsid w:val="00314120"/>
    <w:rsid w:val="00330DAC"/>
    <w:rsid w:val="003420D8"/>
    <w:rsid w:val="00355AAE"/>
    <w:rsid w:val="00360FA9"/>
    <w:rsid w:val="00390539"/>
    <w:rsid w:val="003D27F7"/>
    <w:rsid w:val="003D359F"/>
    <w:rsid w:val="003D7F18"/>
    <w:rsid w:val="003F1EA3"/>
    <w:rsid w:val="004333BD"/>
    <w:rsid w:val="00444B09"/>
    <w:rsid w:val="00446BB3"/>
    <w:rsid w:val="00465411"/>
    <w:rsid w:val="00466132"/>
    <w:rsid w:val="0048033E"/>
    <w:rsid w:val="00481683"/>
    <w:rsid w:val="004A02BA"/>
    <w:rsid w:val="004A2EB6"/>
    <w:rsid w:val="004A5820"/>
    <w:rsid w:val="004C3990"/>
    <w:rsid w:val="004D628A"/>
    <w:rsid w:val="004F03C9"/>
    <w:rsid w:val="004F37A8"/>
    <w:rsid w:val="00517064"/>
    <w:rsid w:val="00517991"/>
    <w:rsid w:val="00534D39"/>
    <w:rsid w:val="00586D20"/>
    <w:rsid w:val="00597CE9"/>
    <w:rsid w:val="005A3F95"/>
    <w:rsid w:val="005A4BE5"/>
    <w:rsid w:val="005A7C8D"/>
    <w:rsid w:val="005D6323"/>
    <w:rsid w:val="005E5715"/>
    <w:rsid w:val="005E6804"/>
    <w:rsid w:val="005F5BA7"/>
    <w:rsid w:val="00610217"/>
    <w:rsid w:val="006168DD"/>
    <w:rsid w:val="006244D1"/>
    <w:rsid w:val="00626497"/>
    <w:rsid w:val="006270B3"/>
    <w:rsid w:val="00644DAA"/>
    <w:rsid w:val="00692960"/>
    <w:rsid w:val="006A3FB2"/>
    <w:rsid w:val="006B01BC"/>
    <w:rsid w:val="006B5788"/>
    <w:rsid w:val="006B7F15"/>
    <w:rsid w:val="006E3A6A"/>
    <w:rsid w:val="006E5448"/>
    <w:rsid w:val="006F4A29"/>
    <w:rsid w:val="007016A9"/>
    <w:rsid w:val="00714847"/>
    <w:rsid w:val="007169C5"/>
    <w:rsid w:val="00717523"/>
    <w:rsid w:val="00736B27"/>
    <w:rsid w:val="007415DF"/>
    <w:rsid w:val="00742302"/>
    <w:rsid w:val="007438FA"/>
    <w:rsid w:val="00757A7F"/>
    <w:rsid w:val="0077014D"/>
    <w:rsid w:val="00796361"/>
    <w:rsid w:val="007B10BB"/>
    <w:rsid w:val="007C0809"/>
    <w:rsid w:val="007C5A54"/>
    <w:rsid w:val="008076CB"/>
    <w:rsid w:val="00820629"/>
    <w:rsid w:val="00824FAF"/>
    <w:rsid w:val="00825665"/>
    <w:rsid w:val="00836CB0"/>
    <w:rsid w:val="008452A4"/>
    <w:rsid w:val="00852CBD"/>
    <w:rsid w:val="00857960"/>
    <w:rsid w:val="008708BE"/>
    <w:rsid w:val="0089072D"/>
    <w:rsid w:val="008B0339"/>
    <w:rsid w:val="008B6CE1"/>
    <w:rsid w:val="008E2CD2"/>
    <w:rsid w:val="008F288A"/>
    <w:rsid w:val="00904942"/>
    <w:rsid w:val="00934AE9"/>
    <w:rsid w:val="009755C7"/>
    <w:rsid w:val="00991A06"/>
    <w:rsid w:val="00993827"/>
    <w:rsid w:val="009A1C21"/>
    <w:rsid w:val="009B0316"/>
    <w:rsid w:val="009C3730"/>
    <w:rsid w:val="009C63ED"/>
    <w:rsid w:val="009C7FAA"/>
    <w:rsid w:val="009D57A2"/>
    <w:rsid w:val="00A12180"/>
    <w:rsid w:val="00A4005F"/>
    <w:rsid w:val="00A402C1"/>
    <w:rsid w:val="00A41A88"/>
    <w:rsid w:val="00A51BCF"/>
    <w:rsid w:val="00A52441"/>
    <w:rsid w:val="00A6214A"/>
    <w:rsid w:val="00A729E4"/>
    <w:rsid w:val="00A9339A"/>
    <w:rsid w:val="00A96A79"/>
    <w:rsid w:val="00AA3B43"/>
    <w:rsid w:val="00AB4339"/>
    <w:rsid w:val="00AB68A2"/>
    <w:rsid w:val="00AE1A3A"/>
    <w:rsid w:val="00B01F59"/>
    <w:rsid w:val="00B465DD"/>
    <w:rsid w:val="00B90259"/>
    <w:rsid w:val="00BB6CC8"/>
    <w:rsid w:val="00BC10BC"/>
    <w:rsid w:val="00BD2659"/>
    <w:rsid w:val="00BE7840"/>
    <w:rsid w:val="00C47E2D"/>
    <w:rsid w:val="00C51135"/>
    <w:rsid w:val="00CB1BCC"/>
    <w:rsid w:val="00CC45B1"/>
    <w:rsid w:val="00CD1A77"/>
    <w:rsid w:val="00CD392B"/>
    <w:rsid w:val="00CD5026"/>
    <w:rsid w:val="00CE01EB"/>
    <w:rsid w:val="00CF50F8"/>
    <w:rsid w:val="00CF62BA"/>
    <w:rsid w:val="00CF6FC7"/>
    <w:rsid w:val="00D20F7D"/>
    <w:rsid w:val="00D3303A"/>
    <w:rsid w:val="00D46AAF"/>
    <w:rsid w:val="00D60DAB"/>
    <w:rsid w:val="00D62CCB"/>
    <w:rsid w:val="00D7167F"/>
    <w:rsid w:val="00D727A5"/>
    <w:rsid w:val="00D75DE1"/>
    <w:rsid w:val="00D821D4"/>
    <w:rsid w:val="00DB4E16"/>
    <w:rsid w:val="00DB7C67"/>
    <w:rsid w:val="00DF455A"/>
    <w:rsid w:val="00E005AA"/>
    <w:rsid w:val="00E06337"/>
    <w:rsid w:val="00E14AA7"/>
    <w:rsid w:val="00E23469"/>
    <w:rsid w:val="00E27059"/>
    <w:rsid w:val="00E307F4"/>
    <w:rsid w:val="00E342C9"/>
    <w:rsid w:val="00E36D6E"/>
    <w:rsid w:val="00E63681"/>
    <w:rsid w:val="00E81F14"/>
    <w:rsid w:val="00EE07AB"/>
    <w:rsid w:val="00EE4B0F"/>
    <w:rsid w:val="00EF41A8"/>
    <w:rsid w:val="00F00E1C"/>
    <w:rsid w:val="00F176DB"/>
    <w:rsid w:val="00F20131"/>
    <w:rsid w:val="00F263EE"/>
    <w:rsid w:val="00F440DD"/>
    <w:rsid w:val="00F66C81"/>
    <w:rsid w:val="00F67B9C"/>
    <w:rsid w:val="00F7016E"/>
    <w:rsid w:val="00F74C79"/>
    <w:rsid w:val="00F77102"/>
    <w:rsid w:val="00F96A7D"/>
    <w:rsid w:val="00FB6527"/>
    <w:rsid w:val="00FB65B1"/>
    <w:rsid w:val="00FC154B"/>
    <w:rsid w:val="00FC3321"/>
    <w:rsid w:val="00FC4EFB"/>
    <w:rsid w:val="00FC6EB7"/>
    <w:rsid w:val="00FD3D5A"/>
    <w:rsid w:val="00FE3981"/>
    <w:rsid w:val="00FE79DA"/>
    <w:rsid w:val="00FF034A"/>
    <w:rsid w:val="00FF62C1"/>
    <w:rsid w:val="02DD65EB"/>
    <w:rsid w:val="03F74B46"/>
    <w:rsid w:val="09AE28E3"/>
    <w:rsid w:val="0A662105"/>
    <w:rsid w:val="0F870803"/>
    <w:rsid w:val="11FF551A"/>
    <w:rsid w:val="150C33A6"/>
    <w:rsid w:val="198136D4"/>
    <w:rsid w:val="1A2B77F4"/>
    <w:rsid w:val="1A8C0104"/>
    <w:rsid w:val="1E67490D"/>
    <w:rsid w:val="219247F3"/>
    <w:rsid w:val="21FD0ED2"/>
    <w:rsid w:val="24063DE2"/>
    <w:rsid w:val="266008AA"/>
    <w:rsid w:val="27CA18B8"/>
    <w:rsid w:val="29FE41FD"/>
    <w:rsid w:val="2CFF3B16"/>
    <w:rsid w:val="2EF52AF4"/>
    <w:rsid w:val="326D43C1"/>
    <w:rsid w:val="34753414"/>
    <w:rsid w:val="39111E53"/>
    <w:rsid w:val="3EDFA368"/>
    <w:rsid w:val="4201657A"/>
    <w:rsid w:val="43510D53"/>
    <w:rsid w:val="439655F4"/>
    <w:rsid w:val="46524589"/>
    <w:rsid w:val="48D166D5"/>
    <w:rsid w:val="48E80695"/>
    <w:rsid w:val="495425B6"/>
    <w:rsid w:val="4CD437E0"/>
    <w:rsid w:val="4CD9505E"/>
    <w:rsid w:val="4F6D3019"/>
    <w:rsid w:val="4FBB65C5"/>
    <w:rsid w:val="4FF36FB9"/>
    <w:rsid w:val="50011891"/>
    <w:rsid w:val="54B41FD3"/>
    <w:rsid w:val="57872B2C"/>
    <w:rsid w:val="5BDA755E"/>
    <w:rsid w:val="5D9C60C7"/>
    <w:rsid w:val="620817F8"/>
    <w:rsid w:val="69673FE7"/>
    <w:rsid w:val="6A557A0E"/>
    <w:rsid w:val="6E3C610D"/>
    <w:rsid w:val="6F9F586F"/>
    <w:rsid w:val="791B5079"/>
    <w:rsid w:val="7FC95651"/>
    <w:rsid w:val="A7BFC5FA"/>
    <w:rsid w:val="E5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</w:style>
  <w:style w:type="paragraph" w:styleId="4">
    <w:name w:val="toc 5"/>
    <w:basedOn w:val="1"/>
    <w:next w:val="1"/>
    <w:unhideWhenUsed/>
    <w:uiPriority w:val="39"/>
    <w:pPr>
      <w:ind w:left="1680" w:leftChars="800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toc 8"/>
    <w:basedOn w:val="1"/>
    <w:next w:val="1"/>
    <w:unhideWhenUsed/>
    <w:uiPriority w:val="39"/>
    <w:pPr>
      <w:ind w:left="2940" w:leftChars="14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4"/>
    <w:basedOn w:val="1"/>
    <w:next w:val="1"/>
    <w:unhideWhenUsed/>
    <w:uiPriority w:val="39"/>
    <w:pPr>
      <w:ind w:left="1260" w:leftChars="600"/>
    </w:pPr>
  </w:style>
  <w:style w:type="paragraph" w:styleId="11">
    <w:name w:val="toc 6"/>
    <w:basedOn w:val="1"/>
    <w:next w:val="1"/>
    <w:unhideWhenUsed/>
    <w:uiPriority w:val="39"/>
    <w:pPr>
      <w:ind w:left="2100" w:leftChars="1000"/>
    </w:p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oc 9"/>
    <w:basedOn w:val="1"/>
    <w:next w:val="1"/>
    <w:unhideWhenUsed/>
    <w:qFormat/>
    <w:uiPriority w:val="39"/>
    <w:pPr>
      <w:ind w:left="3360" w:leftChars="1600"/>
    </w:p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EDD3-9DD3-4ED9-9451-74E71AE09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</Words>
  <Characters>486</Characters>
  <Lines>4</Lines>
  <Paragraphs>1</Paragraphs>
  <TotalTime>132</TotalTime>
  <ScaleCrop>false</ScaleCrop>
  <LinksUpToDate>false</LinksUpToDate>
  <CharactersWithSpaces>570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2023-07-21T22:19:00Z</dcterms:created>
  <dc:creator>ELIAN-FM-JSJ707</dc:creator>
  <cp:lastModifiedBy>丹丹</cp:lastModifiedBy>
  <dcterms:modified xsi:type="dcterms:W3CDTF">2026-04-23T13:11:55Z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AD97B3A7CD8F465288A3E9694E322611_43</vt:lpwstr>
  </property>
</Properties>
</file>