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C6AD2">
      <w:pPr>
        <w:spacing w:before="101" w:line="230" w:lineRule="auto"/>
        <w:rPr>
          <w:rFonts w:ascii="黑体" w:hAnsi="黑体" w:eastAsia="黑体" w:cs="黑体"/>
          <w:sz w:val="31"/>
          <w:szCs w:val="31"/>
        </w:rPr>
      </w:pPr>
      <w:r>
        <w:rPr>
          <w:rFonts w:ascii="黑体" w:hAnsi="黑体" w:eastAsia="黑体" w:cs="黑体"/>
          <w:spacing w:val="-5"/>
          <w:sz w:val="31"/>
          <w:szCs w:val="31"/>
        </w:rPr>
        <w:t>附件</w:t>
      </w:r>
      <w:r>
        <w:rPr>
          <w:rFonts w:ascii="黑体" w:hAnsi="黑体" w:eastAsia="黑体" w:cs="黑体"/>
          <w:spacing w:val="-79"/>
          <w:sz w:val="31"/>
          <w:szCs w:val="31"/>
        </w:rPr>
        <w:t xml:space="preserve"> </w:t>
      </w:r>
      <w:r>
        <w:rPr>
          <w:rFonts w:ascii="黑体" w:hAnsi="黑体" w:eastAsia="黑体" w:cs="黑体"/>
          <w:spacing w:val="-5"/>
          <w:sz w:val="31"/>
          <w:szCs w:val="31"/>
        </w:rPr>
        <w:t>4</w:t>
      </w:r>
    </w:p>
    <w:p w14:paraId="31C233B4">
      <w:pPr>
        <w:spacing w:line="296" w:lineRule="auto"/>
        <w:rPr>
          <w:rFonts w:ascii="Arial"/>
          <w:sz w:val="21"/>
        </w:rPr>
      </w:pPr>
    </w:p>
    <w:p w14:paraId="08BC8B59">
      <w:pPr>
        <w:spacing w:before="140" w:line="222"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湖北</w:t>
      </w:r>
      <w:r>
        <w:rPr>
          <w:rFonts w:hint="eastAsia" w:ascii="方正小标宋简体" w:hAnsi="方正小标宋简体" w:eastAsia="方正小标宋简体" w:cs="方正小标宋简体"/>
          <w:b/>
          <w:bCs/>
          <w:spacing w:val="1"/>
          <w:sz w:val="44"/>
          <w:szCs w:val="44"/>
        </w:rPr>
        <w:t>省集采药品“三进”行动单位标牌标</w:t>
      </w:r>
      <w:r>
        <w:rPr>
          <w:rFonts w:hint="eastAsia" w:ascii="方正小标宋简体" w:hAnsi="方正小标宋简体" w:eastAsia="方正小标宋简体" w:cs="方正小标宋简体"/>
          <w:b/>
          <w:bCs/>
          <w:spacing w:val="-5"/>
          <w:sz w:val="44"/>
          <w:szCs w:val="44"/>
        </w:rPr>
        <w:t>识</w:t>
      </w:r>
    </w:p>
    <w:p w14:paraId="6D811B6D">
      <w:pPr>
        <w:spacing w:before="121" w:line="223" w:lineRule="auto"/>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z w:val="44"/>
          <w:szCs w:val="44"/>
        </w:rPr>
        <w:t>参</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b/>
          <w:bCs/>
          <w:sz w:val="44"/>
          <w:szCs w:val="44"/>
        </w:rPr>
        <w:t>考</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b/>
          <w:bCs/>
          <w:sz w:val="44"/>
          <w:szCs w:val="44"/>
        </w:rPr>
        <w:t>样</w:t>
      </w:r>
      <w:r>
        <w:rPr>
          <w:rFonts w:hint="eastAsia" w:ascii="方正小标宋简体" w:hAnsi="方正小标宋简体" w:eastAsia="方正小标宋简体" w:cs="方正小标宋简体"/>
          <w:spacing w:val="12"/>
          <w:sz w:val="44"/>
          <w:szCs w:val="44"/>
        </w:rPr>
        <w:t xml:space="preserve"> </w:t>
      </w:r>
      <w:r>
        <w:rPr>
          <w:rFonts w:hint="eastAsia" w:ascii="方正小标宋简体" w:hAnsi="方正小标宋简体" w:eastAsia="方正小标宋简体" w:cs="方正小标宋简体"/>
          <w:b/>
          <w:bCs/>
          <w:sz w:val="44"/>
          <w:szCs w:val="44"/>
        </w:rPr>
        <w:t>式</w:t>
      </w:r>
    </w:p>
    <w:p w14:paraId="71AC422F">
      <w:pPr>
        <w:pStyle w:val="2"/>
        <w:spacing w:line="345" w:lineRule="auto"/>
      </w:pPr>
    </w:p>
    <w:p w14:paraId="3016D418">
      <w:pPr>
        <w:pStyle w:val="2"/>
        <w:spacing w:line="346" w:lineRule="auto"/>
      </w:pPr>
    </w:p>
    <w:p w14:paraId="5A1B98B6">
      <w:pPr>
        <w:spacing w:before="100" w:line="228" w:lineRule="auto"/>
        <w:ind w:firstLine="420" w:firstLineChars="200"/>
        <w:rPr>
          <w:rFonts w:ascii="黑体" w:hAnsi="黑体" w:eastAsia="黑体" w:cs="黑体"/>
          <w:sz w:val="31"/>
          <w:szCs w:val="31"/>
        </w:rPr>
      </w:pPr>
      <w:r>
        <w:rPr>
          <w:position w:val="-38"/>
        </w:rPr>
        <w:drawing>
          <wp:anchor distT="0" distB="0" distL="0" distR="0" simplePos="0" relativeHeight="251659264" behindDoc="0" locked="0" layoutInCell="1" allowOverlap="1">
            <wp:simplePos x="0" y="0"/>
            <wp:positionH relativeFrom="column">
              <wp:posOffset>4445</wp:posOffset>
            </wp:positionH>
            <wp:positionV relativeFrom="paragraph">
              <wp:posOffset>674370</wp:posOffset>
            </wp:positionV>
            <wp:extent cx="5816600" cy="1061085"/>
            <wp:effectExtent l="0" t="0" r="5080" b="5715"/>
            <wp:wrapTopAndBottom/>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
                    <a:stretch>
                      <a:fillRect/>
                    </a:stretch>
                  </pic:blipFill>
                  <pic:spPr>
                    <a:xfrm>
                      <a:off x="0" y="0"/>
                      <a:ext cx="5816600" cy="1061085"/>
                    </a:xfrm>
                    <a:prstGeom prst="rect">
                      <a:avLst/>
                    </a:prstGeom>
                  </pic:spPr>
                </pic:pic>
              </a:graphicData>
            </a:graphic>
          </wp:anchor>
        </w:drawing>
      </w:r>
      <w:r>
        <w:rPr>
          <w:rFonts w:hint="eastAsia" w:ascii="黑体" w:hAnsi="黑体" w:eastAsia="黑体" w:cs="黑体"/>
          <w:spacing w:val="5"/>
          <w:sz w:val="31"/>
          <w:szCs w:val="31"/>
          <w:lang w:val="en-US" w:eastAsia="zh-CN"/>
        </w:rPr>
        <w:t>一</w:t>
      </w:r>
      <w:r>
        <w:rPr>
          <w:rFonts w:ascii="黑体" w:hAnsi="黑体" w:eastAsia="黑体" w:cs="黑体"/>
          <w:spacing w:val="5"/>
          <w:sz w:val="31"/>
          <w:szCs w:val="31"/>
        </w:rPr>
        <w:t>、医保集采药品专区（柜）标识</w:t>
      </w:r>
    </w:p>
    <w:p w14:paraId="7BBB9D6A">
      <w:pPr>
        <w:pStyle w:val="2"/>
        <w:spacing w:line="265" w:lineRule="auto"/>
        <w:rPr>
          <w:position w:val="-38"/>
        </w:rPr>
      </w:pPr>
      <w:r>
        <w:rPr>
          <w:position w:val="-164"/>
        </w:rPr>
        <w:drawing>
          <wp:anchor distT="0" distB="0" distL="0" distR="0" simplePos="0" relativeHeight="251660288" behindDoc="0" locked="0" layoutInCell="1" allowOverlap="1">
            <wp:simplePos x="0" y="0"/>
            <wp:positionH relativeFrom="column">
              <wp:posOffset>2247900</wp:posOffset>
            </wp:positionH>
            <wp:positionV relativeFrom="paragraph">
              <wp:posOffset>1497965</wp:posOffset>
            </wp:positionV>
            <wp:extent cx="998855" cy="5031105"/>
            <wp:effectExtent l="0" t="0" r="6985" b="13335"/>
            <wp:wrapTopAndBottom/>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
                    <a:stretch>
                      <a:fillRect/>
                    </a:stretch>
                  </pic:blipFill>
                  <pic:spPr>
                    <a:xfrm>
                      <a:off x="0" y="0"/>
                      <a:ext cx="998855" cy="5031105"/>
                    </a:xfrm>
                    <a:prstGeom prst="rect">
                      <a:avLst/>
                    </a:prstGeom>
                  </pic:spPr>
                </pic:pic>
              </a:graphicData>
            </a:graphic>
          </wp:anchor>
        </w:drawing>
      </w:r>
    </w:p>
    <w:p w14:paraId="0F34178B">
      <w:pPr>
        <w:spacing w:before="101" w:line="227" w:lineRule="auto"/>
        <w:ind w:firstLine="636" w:firstLineChars="200"/>
        <w:rPr>
          <w:rFonts w:ascii="黑体" w:hAnsi="黑体" w:eastAsia="黑体" w:cs="黑体"/>
          <w:sz w:val="31"/>
          <w:szCs w:val="31"/>
        </w:rPr>
      </w:pPr>
      <w:r>
        <w:rPr>
          <w:rFonts w:hint="eastAsia" w:ascii="黑体" w:hAnsi="黑体" w:eastAsia="黑体" w:cs="黑体"/>
          <w:spacing w:val="4"/>
          <w:sz w:val="31"/>
          <w:szCs w:val="31"/>
          <w:lang w:val="en-US" w:eastAsia="zh-CN"/>
        </w:rPr>
        <w:t>二</w:t>
      </w:r>
      <w:r>
        <w:rPr>
          <w:rFonts w:ascii="黑体" w:hAnsi="黑体" w:eastAsia="黑体" w:cs="黑体"/>
          <w:spacing w:val="4"/>
          <w:sz w:val="31"/>
          <w:szCs w:val="31"/>
        </w:rPr>
        <w:t>、医保集采药品价格标签</w:t>
      </w:r>
    </w:p>
    <w:p w14:paraId="4078C64C">
      <w:pPr>
        <w:pStyle w:val="2"/>
        <w:spacing w:line="276" w:lineRule="auto"/>
      </w:pPr>
    </w:p>
    <w:p w14:paraId="711BAC80">
      <w:pPr>
        <w:pStyle w:val="2"/>
        <w:spacing w:line="276" w:lineRule="auto"/>
      </w:pPr>
    </w:p>
    <w:p w14:paraId="5110D96F">
      <w:pPr>
        <w:pStyle w:val="2"/>
        <w:spacing w:line="277" w:lineRule="auto"/>
      </w:pPr>
    </w:p>
    <w:p w14:paraId="7A0042C3">
      <w:pPr>
        <w:spacing w:line="4839" w:lineRule="exact"/>
        <w:rPr>
          <w:position w:val="-96"/>
        </w:rPr>
      </w:pPr>
      <w:r>
        <w:rPr>
          <w:position w:val="-96"/>
        </w:rPr>
        <w:drawing>
          <wp:inline distT="0" distB="0" distL="0" distR="0">
            <wp:extent cx="5608320" cy="307213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9"/>
                    <a:stretch>
                      <a:fillRect/>
                    </a:stretch>
                  </pic:blipFill>
                  <pic:spPr>
                    <a:xfrm>
                      <a:off x="0" y="0"/>
                      <a:ext cx="5608320" cy="3072383"/>
                    </a:xfrm>
                    <a:prstGeom prst="rect">
                      <a:avLst/>
                    </a:prstGeom>
                  </pic:spPr>
                </pic:pic>
              </a:graphicData>
            </a:graphic>
          </wp:inline>
        </w:drawing>
      </w:r>
    </w:p>
    <w:p w14:paraId="780A8BD0">
      <w:pPr>
        <w:spacing w:before="101" w:line="228" w:lineRule="auto"/>
        <w:ind w:left="783"/>
        <w:rPr>
          <w:rFonts w:hint="eastAsia" w:ascii="黑体" w:hAnsi="黑体" w:eastAsia="黑体" w:cs="黑体"/>
          <w:spacing w:val="4"/>
          <w:sz w:val="31"/>
          <w:szCs w:val="31"/>
          <w:lang w:val="en-US" w:eastAsia="zh-CN"/>
        </w:rPr>
      </w:pPr>
    </w:p>
    <w:p w14:paraId="613709A5">
      <w:pPr>
        <w:spacing w:before="101" w:line="228" w:lineRule="auto"/>
        <w:ind w:left="783"/>
        <w:rPr>
          <w:rFonts w:hint="eastAsia" w:ascii="黑体" w:hAnsi="黑体" w:eastAsia="黑体" w:cs="黑体"/>
          <w:spacing w:val="4"/>
          <w:sz w:val="31"/>
          <w:szCs w:val="31"/>
          <w:lang w:val="en-US" w:eastAsia="zh-CN"/>
        </w:rPr>
      </w:pPr>
    </w:p>
    <w:p w14:paraId="3BA60126">
      <w:pPr>
        <w:spacing w:before="101" w:line="228" w:lineRule="auto"/>
        <w:ind w:left="783"/>
        <w:rPr>
          <w:rFonts w:hint="eastAsia" w:ascii="黑体" w:hAnsi="黑体" w:eastAsia="黑体" w:cs="黑体"/>
          <w:sz w:val="31"/>
          <w:szCs w:val="31"/>
          <w:lang w:eastAsia="zh-CN"/>
        </w:rPr>
      </w:pPr>
      <w:r>
        <w:rPr>
          <w:rFonts w:hint="eastAsia" w:ascii="黑体" w:hAnsi="黑体" w:eastAsia="黑体" w:cs="黑体"/>
          <w:spacing w:val="4"/>
          <w:sz w:val="31"/>
          <w:szCs w:val="31"/>
          <w:lang w:val="en-US" w:eastAsia="zh-CN"/>
        </w:rPr>
        <w:t>三</w:t>
      </w:r>
      <w:r>
        <w:rPr>
          <w:rFonts w:ascii="黑体" w:hAnsi="黑体" w:eastAsia="黑体" w:cs="黑体"/>
          <w:spacing w:val="4"/>
          <w:sz w:val="31"/>
          <w:szCs w:val="31"/>
        </w:rPr>
        <w:t>、集采药品“三进”单位标牌</w:t>
      </w:r>
      <w:r>
        <w:rPr>
          <w:rFonts w:hint="eastAsia" w:ascii="黑体" w:hAnsi="黑体" w:eastAsia="黑体" w:cs="黑体"/>
          <w:spacing w:val="4"/>
          <w:sz w:val="31"/>
          <w:szCs w:val="31"/>
          <w:lang w:eastAsia="zh-CN"/>
        </w:rPr>
        <w:t>（</w:t>
      </w:r>
      <w:r>
        <w:rPr>
          <w:rFonts w:hint="eastAsia" w:ascii="黑体" w:hAnsi="黑体" w:eastAsia="黑体" w:cs="黑体"/>
          <w:spacing w:val="4"/>
          <w:sz w:val="31"/>
          <w:szCs w:val="31"/>
          <w:lang w:val="en-US" w:eastAsia="zh-CN"/>
        </w:rPr>
        <w:t>由各统筹区自行确定</w:t>
      </w:r>
      <w:r>
        <w:rPr>
          <w:rFonts w:hint="eastAsia" w:ascii="黑体" w:hAnsi="黑体" w:eastAsia="黑体" w:cs="黑体"/>
          <w:spacing w:val="4"/>
          <w:sz w:val="31"/>
          <w:szCs w:val="31"/>
          <w:lang w:eastAsia="zh-CN"/>
        </w:rPr>
        <w:t>）</w:t>
      </w:r>
      <w:bookmarkStart w:id="0" w:name="_GoBack"/>
      <w:bookmarkEnd w:id="0"/>
    </w:p>
    <w:p w14:paraId="23229D5B">
      <w:pPr>
        <w:spacing w:line="269" w:lineRule="auto"/>
        <w:rPr>
          <w:rFonts w:ascii="Arial"/>
          <w:sz w:val="21"/>
        </w:rPr>
      </w:pPr>
    </w:p>
    <w:p w14:paraId="2134F340">
      <w:pPr>
        <w:spacing w:line="269" w:lineRule="auto"/>
        <w:rPr>
          <w:rFonts w:ascii="Arial"/>
          <w:sz w:val="21"/>
        </w:rPr>
      </w:pPr>
    </w:p>
    <w:p w14:paraId="64173FEA">
      <w:pPr>
        <w:spacing w:line="269" w:lineRule="auto"/>
        <w:rPr>
          <w:rFonts w:ascii="Arial"/>
          <w:sz w:val="21"/>
        </w:rPr>
      </w:pPr>
    </w:p>
    <w:p w14:paraId="6D640547">
      <w:pPr>
        <w:spacing w:line="4839" w:lineRule="exact"/>
        <w:rPr>
          <w:position w:val="-96"/>
        </w:rPr>
      </w:pPr>
    </w:p>
    <w:sectPr>
      <w:footerReference r:id="rId5" w:type="default"/>
      <w:pgSz w:w="11906" w:h="16839"/>
      <w:pgMar w:top="1431" w:right="1504" w:bottom="1350" w:left="1569" w:header="0" w:footer="118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4D0EC">
    <w:pPr>
      <w:spacing w:line="176" w:lineRule="auto"/>
      <w:ind w:left="4402"/>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7EC21A5"/>
    <w:rsid w:val="3D091CC5"/>
    <w:rsid w:val="42A81B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76</Words>
  <Characters>76</Characters>
  <TotalTime>4</TotalTime>
  <ScaleCrop>false</ScaleCrop>
  <LinksUpToDate>false</LinksUpToDate>
  <CharactersWithSpaces>80</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2025-04-22T11:31:00Z</dcterms:created>
  <dc:creator>zhangxf</dc:creator>
  <cp:lastModifiedBy>欣欣</cp:lastModifiedBy>
  <dcterms:modified xsi:type="dcterms:W3CDTF">2025-05-21T00:53:47Z</dcterms:modified>
  <dc:title>此次培训的背景：8月底国务院督查组在江西开展大督查，通过走访定点医疗机构、访谈参保人员，采用明察暗访形式，反馈江西异地就医工作存在基层医疗机构工作人员异地就医业务不熟练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2025-04-22T11:31:32Z</vt:filetime>
  </property>
  <property fmtid="{D5CDD505-2E9C-101B-9397-08002B2CF9AE}" pid="4" name="KSOTemplateDocerSaveRecord">
    <vt:lpwstr>eyJoZGlkIjoiYjA1MDgwOTJmOGFiOGM5YTcxZTZlNGI1NTFmNzY3MTIifQ==</vt:lpwstr>
  </property>
  <property fmtid="{D5CDD505-2E9C-101B-9397-08002B2CF9AE}" pid="5" name="KSOProductBuildVer">
    <vt:lpwstr>2052-12.1.0.21171</vt:lpwstr>
  </property>
  <property fmtid="{D5CDD505-2E9C-101B-9397-08002B2CF9AE}" pid="6" name="ICV">
    <vt:lpwstr>EED2920837064D6384ABFBCFE5DFB462_13</vt:lpwstr>
  </property>
</Properties>
</file>