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310995">
      <w:pPr>
        <w:pStyle w:val="2"/>
        <w:numPr>
          <w:ilvl w:val="0"/>
          <w:numId w:val="0"/>
        </w:numPr>
        <w:spacing w:before="156" w:after="156"/>
        <w:ind w:left="420"/>
        <w:jc w:val="center"/>
        <w:rPr>
          <w:rFonts w:hint="eastAsia" w:eastAsia="宋体"/>
          <w:lang w:val="en-US" w:eastAsia="zh-CN"/>
        </w:rPr>
      </w:pPr>
      <w:r>
        <w:rPr>
          <w:rFonts w:hint="eastAsia"/>
          <w:sz w:val="40"/>
          <w:szCs w:val="40"/>
          <w:lang w:val="en-US" w:eastAsia="zh-CN"/>
        </w:rPr>
        <w:t>操作手册</w:t>
      </w:r>
    </w:p>
    <w:p w14:paraId="0DDB7B96">
      <w:pPr>
        <w:pStyle w:val="3"/>
        <w:numPr>
          <w:ilvl w:val="1"/>
          <w:numId w:val="0"/>
        </w:numPr>
        <w:ind w:left="680" w:leftChars="0" w:hanging="680" w:firstLineChars="0"/>
      </w:pPr>
      <w:bookmarkStart w:id="0" w:name="_Toc169191023"/>
      <w:r>
        <w:rPr>
          <w:rFonts w:hint="eastAsia" w:eastAsia="宋体" w:cs="宋体"/>
          <w:b/>
          <w:bCs w:val="0"/>
          <w:sz w:val="28"/>
          <w:szCs w:val="28"/>
          <w:lang w:val="en-US" w:eastAsia="zh-CN" w:bidi="ar-SA"/>
        </w:rPr>
        <w:t>1</w:t>
      </w:r>
      <w:r>
        <w:rPr>
          <w:rFonts w:hint="eastAsia" w:ascii="宋体" w:hAnsi="宋体" w:eastAsia="宋体" w:cs="宋体"/>
          <w:b/>
          <w:bCs w:val="0"/>
          <w:sz w:val="28"/>
          <w:szCs w:val="28"/>
          <w:lang w:val="en-US" w:eastAsia="zh-CN" w:bidi="ar-SA"/>
        </w:rPr>
        <w:t>.1</w:t>
      </w:r>
      <w:r>
        <w:t>基础数据</w:t>
      </w:r>
      <w:bookmarkEnd w:id="0"/>
    </w:p>
    <w:p w14:paraId="3820D4F4">
      <w:pPr>
        <w:pStyle w:val="4"/>
        <w:numPr>
          <w:ilvl w:val="2"/>
          <w:numId w:val="0"/>
        </w:numPr>
        <w:ind w:left="680" w:leftChars="0" w:hanging="680" w:firstLineChars="0"/>
      </w:pPr>
      <w:bookmarkStart w:id="1" w:name="_Toc169191024"/>
      <w:r>
        <w:rPr>
          <w:rFonts w:hint="eastAsia" w:cs="宋体"/>
          <w:b/>
          <w:bCs w:val="0"/>
          <w:sz w:val="28"/>
          <w:szCs w:val="32"/>
          <w:lang w:val="en-US" w:eastAsia="zh-CN" w:bidi="ar-SA"/>
        </w:rPr>
        <w:t>1</w:t>
      </w:r>
      <w:r>
        <w:rPr>
          <w:rFonts w:hint="eastAsia" w:ascii="宋体" w:hAnsi="宋体" w:eastAsia="宋体" w:cs="宋体"/>
          <w:b/>
          <w:bCs w:val="0"/>
          <w:sz w:val="28"/>
          <w:szCs w:val="32"/>
          <w:lang w:val="en-US" w:eastAsia="zh-CN" w:bidi="ar-SA"/>
        </w:rPr>
        <w:t>.1.1</w:t>
      </w:r>
      <w:r>
        <w:rPr>
          <w:rFonts w:hint="eastAsia"/>
          <w:lang w:eastAsia="zh-CN"/>
        </w:rPr>
        <w:t>药品</w:t>
      </w:r>
      <w:r>
        <w:rPr>
          <w:rFonts w:hint="eastAsia"/>
        </w:rPr>
        <w:t>授权管理</w:t>
      </w:r>
      <w:bookmarkEnd w:id="1"/>
    </w:p>
    <w:p w14:paraId="5E96559A">
      <w:pPr>
        <w:pStyle w:val="5"/>
        <w:numPr>
          <w:ilvl w:val="3"/>
          <w:numId w:val="0"/>
        </w:numPr>
        <w:ind w:left="680" w:leftChars="0" w:hanging="680" w:firstLineChars="0"/>
      </w:pPr>
      <w:r>
        <w:rPr>
          <w:rFonts w:hint="eastAsia" w:ascii="宋体" w:hAnsi="宋体" w:cs="Times New Roman"/>
          <w:b/>
          <w:bCs/>
          <w:i w:val="0"/>
          <w:iCs w:val="0"/>
          <w:caps w:val="0"/>
          <w:smallCaps w:val="0"/>
          <w:strike w:val="0"/>
          <w:dstrike w:val="0"/>
          <w:vanish w:val="0"/>
          <w:color w:val="000000"/>
          <w:spacing w:val="0"/>
          <w:position w:val="0"/>
          <w:sz w:val="24"/>
          <w:szCs w:val="22"/>
          <w:u w:val="none"/>
          <w:vertAlign w:val="baseline"/>
          <w:lang w:val="en-US" w:eastAsia="zh-CN" w:bidi="ar-SA"/>
          <w14:shadow w14:blurRad="0" w14:dist="0" w14:dir="0" w14:sx="0" w14:sy="0" w14:kx="0" w14:ky="0" w14:algn="none">
            <w14:srgbClr w14:val="000000"/>
          </w14:shadow>
          <w14:ligatures w14:val="none"/>
          <w14:numForm w14:val="default"/>
          <w14:numSpacing w14:val="default"/>
        </w:rPr>
        <w:t>1</w:t>
      </w:r>
      <w:r>
        <w:rPr>
          <w:rFonts w:hint="eastAsia" w:ascii="宋体" w:hAnsi="宋体" w:eastAsia="宋体" w:cs="Times New Roman"/>
          <w:b/>
          <w:bCs/>
          <w:i w:val="0"/>
          <w:iCs w:val="0"/>
          <w:caps w:val="0"/>
          <w:smallCaps w:val="0"/>
          <w:strike w:val="0"/>
          <w:dstrike w:val="0"/>
          <w:vanish w:val="0"/>
          <w:color w:val="000000"/>
          <w:spacing w:val="0"/>
          <w:position w:val="0"/>
          <w:sz w:val="24"/>
          <w:szCs w:val="22"/>
          <w:u w:val="none"/>
          <w:vertAlign w:val="baseline"/>
          <w:lang w:val="en-US" w:eastAsia="zh-CN" w:bidi="ar-SA"/>
          <w14:shadow w14:blurRad="0" w14:dist="0" w14:dir="0" w14:sx="0" w14:sy="0" w14:kx="0" w14:ky="0" w14:algn="none">
            <w14:srgbClr w14:val="000000"/>
          </w14:shadow>
          <w14:ligatures w14:val="none"/>
          <w14:numForm w14:val="default"/>
          <w14:numSpacing w14:val="default"/>
        </w:rPr>
        <w:t>.1.1.1</w:t>
      </w:r>
      <w:r>
        <w:rPr>
          <w:rFonts w:hint="eastAsia"/>
          <w:lang w:eastAsia="zh-CN"/>
        </w:rPr>
        <w:t>药品</w:t>
      </w:r>
      <w:r>
        <w:rPr>
          <w:rFonts w:hint="eastAsia"/>
        </w:rPr>
        <w:t>产品授权</w:t>
      </w:r>
    </w:p>
    <w:p w14:paraId="485EE14B">
      <w:pPr>
        <w:pStyle w:val="6"/>
        <w:numPr>
          <w:ilvl w:val="4"/>
          <w:numId w:val="0"/>
        </w:numPr>
        <w:ind w:left="822" w:leftChars="0" w:hanging="680" w:firstLineChars="0"/>
      </w:pPr>
      <w:r>
        <w:rPr>
          <w:rFonts w:hint="eastAsia" w:cs="宋体"/>
          <w:b/>
          <w:bCs/>
          <w:i w:val="0"/>
          <w:iCs w:val="0"/>
          <w:caps w:val="0"/>
          <w:smallCaps w:val="0"/>
          <w:strike w:val="0"/>
          <w:dstrike w:val="0"/>
          <w:vanish w:val="0"/>
          <w:color w:val="000000"/>
          <w:spacing w:val="0"/>
          <w:position w:val="0"/>
          <w:sz w:val="24"/>
          <w:szCs w:val="24"/>
          <w:u w:val="none"/>
          <w:vertAlign w:val="baseline"/>
          <w:lang w:val="en-US" w:eastAsia="zh-CN" w:bidi="ar-SA"/>
          <w14:shadow w14:blurRad="0" w14:dist="0" w14:dir="0" w14:sx="0" w14:sy="0" w14:kx="0" w14:ky="0" w14:algn="none">
            <w14:srgbClr w14:val="000000"/>
          </w14:shadow>
          <w14:ligatures w14:val="none"/>
          <w14:numForm w14:val="default"/>
          <w14:numSpacing w14:val="default"/>
        </w:rPr>
        <w:t>1</w:t>
      </w:r>
      <w:r>
        <w:rPr>
          <w:rFonts w:hint="eastAsia" w:ascii="宋体" w:hAnsi="宋体" w:eastAsia="宋体" w:cs="宋体"/>
          <w:b/>
          <w:bCs/>
          <w:i w:val="0"/>
          <w:iCs w:val="0"/>
          <w:caps w:val="0"/>
          <w:smallCaps w:val="0"/>
          <w:strike w:val="0"/>
          <w:dstrike w:val="0"/>
          <w:vanish w:val="0"/>
          <w:color w:val="000000"/>
          <w:spacing w:val="0"/>
          <w:position w:val="0"/>
          <w:sz w:val="24"/>
          <w:szCs w:val="24"/>
          <w:u w:val="none"/>
          <w:vertAlign w:val="baseline"/>
          <w:lang w:val="en-US" w:eastAsia="zh-CN" w:bidi="ar-SA"/>
          <w14:shadow w14:blurRad="0" w14:dist="0" w14:dir="0" w14:sx="0" w14:sy="0" w14:kx="0" w14:ky="0" w14:algn="none">
            <w14:srgbClr w14:val="000000"/>
          </w14:shadow>
          <w14:ligatures w14:val="none"/>
          <w14:numForm w14:val="default"/>
          <w14:numSpacing w14:val="default"/>
        </w:rPr>
        <w:t>.1.1.1.1</w:t>
      </w:r>
      <w:r>
        <w:rPr>
          <w:rFonts w:hint="eastAsia"/>
        </w:rPr>
        <w:t>功能描述</w:t>
      </w:r>
    </w:p>
    <w:p w14:paraId="7AF5C6BF">
      <w:pPr>
        <w:pStyle w:val="11"/>
        <w:ind w:firstLine="480"/>
        <w:rPr>
          <w:sz w:val="24"/>
        </w:rPr>
      </w:pPr>
      <w:r>
        <w:rPr>
          <w:rFonts w:hint="eastAsia"/>
          <w:sz w:val="24"/>
        </w:rPr>
        <w:t>生产企业新增授权信息可以通过本企业和本</w:t>
      </w:r>
      <w:bookmarkStart w:id="3" w:name="_GoBack"/>
      <w:bookmarkEnd w:id="3"/>
      <w:r>
        <w:rPr>
          <w:rFonts w:hint="eastAsia"/>
          <w:sz w:val="24"/>
        </w:rPr>
        <w:t>企业代理的2种授权方方式进行对产品信息授权操作。</w:t>
      </w:r>
    </w:p>
    <w:p w14:paraId="41D678AF">
      <w:pPr>
        <w:pStyle w:val="6"/>
        <w:numPr>
          <w:ilvl w:val="4"/>
          <w:numId w:val="0"/>
        </w:numPr>
        <w:ind w:left="822" w:leftChars="0" w:hanging="680" w:firstLineChars="0"/>
      </w:pPr>
      <w:r>
        <w:rPr>
          <w:rFonts w:hint="eastAsia" w:cs="宋体"/>
          <w:b/>
          <w:bCs/>
          <w:i w:val="0"/>
          <w:iCs w:val="0"/>
          <w:caps w:val="0"/>
          <w:smallCaps w:val="0"/>
          <w:strike w:val="0"/>
          <w:dstrike w:val="0"/>
          <w:vanish w:val="0"/>
          <w:color w:val="000000"/>
          <w:spacing w:val="0"/>
          <w:position w:val="0"/>
          <w:sz w:val="24"/>
          <w:szCs w:val="24"/>
          <w:u w:val="none"/>
          <w:vertAlign w:val="baseline"/>
          <w:lang w:val="en-US" w:eastAsia="zh-CN" w:bidi="ar-SA"/>
          <w14:shadow w14:blurRad="0" w14:dist="0" w14:dir="0" w14:sx="0" w14:sy="0" w14:kx="0" w14:ky="0" w14:algn="none">
            <w14:srgbClr w14:val="000000"/>
          </w14:shadow>
          <w14:ligatures w14:val="none"/>
          <w14:numForm w14:val="default"/>
          <w14:numSpacing w14:val="default"/>
        </w:rPr>
        <w:t>1</w:t>
      </w:r>
      <w:r>
        <w:rPr>
          <w:rFonts w:hint="eastAsia" w:ascii="宋体" w:hAnsi="宋体" w:eastAsia="宋体" w:cs="宋体"/>
          <w:b/>
          <w:bCs/>
          <w:i w:val="0"/>
          <w:iCs w:val="0"/>
          <w:caps w:val="0"/>
          <w:smallCaps w:val="0"/>
          <w:strike w:val="0"/>
          <w:dstrike w:val="0"/>
          <w:vanish w:val="0"/>
          <w:color w:val="000000"/>
          <w:spacing w:val="0"/>
          <w:position w:val="0"/>
          <w:sz w:val="24"/>
          <w:szCs w:val="24"/>
          <w:u w:val="none"/>
          <w:vertAlign w:val="baseline"/>
          <w:lang w:val="en-US" w:eastAsia="zh-CN" w:bidi="ar-SA"/>
          <w14:shadow w14:blurRad="0" w14:dist="0" w14:dir="0" w14:sx="0" w14:sy="0" w14:kx="0" w14:ky="0" w14:algn="none">
            <w14:srgbClr w14:val="000000"/>
          </w14:shadow>
          <w14:ligatures w14:val="none"/>
          <w14:numForm w14:val="default"/>
          <w14:numSpacing w14:val="default"/>
        </w:rPr>
        <w:t>.1.1.1.2</w:t>
      </w:r>
      <w:r>
        <w:rPr>
          <w:rFonts w:hint="eastAsia"/>
        </w:rPr>
        <w:t>操作权限</w:t>
      </w:r>
    </w:p>
    <w:p w14:paraId="5BE0AF9C">
      <w:pPr>
        <w:pStyle w:val="11"/>
        <w:tabs>
          <w:tab w:val="left" w:pos="232"/>
        </w:tabs>
        <w:ind w:firstLine="439" w:firstLineChars="183"/>
        <w:rPr>
          <w:sz w:val="24"/>
        </w:rPr>
      </w:pPr>
      <w:r>
        <w:rPr>
          <w:rFonts w:hint="eastAsia"/>
          <w:sz w:val="24"/>
        </w:rPr>
        <w:t>生产/代理企业：</w:t>
      </w:r>
      <w:r>
        <w:rPr>
          <w:rFonts w:hint="eastAsia"/>
          <w:sz w:val="24"/>
          <w:lang w:eastAsia="zh-CN"/>
        </w:rPr>
        <w:t>药品</w:t>
      </w:r>
      <w:r>
        <w:rPr>
          <w:rFonts w:hint="eastAsia"/>
          <w:sz w:val="24"/>
        </w:rPr>
        <w:t>授权。</w:t>
      </w:r>
    </w:p>
    <w:p w14:paraId="55BDCBF0">
      <w:pPr>
        <w:pStyle w:val="6"/>
        <w:numPr>
          <w:ilvl w:val="4"/>
          <w:numId w:val="0"/>
        </w:numPr>
        <w:ind w:left="822" w:leftChars="0" w:hanging="680" w:firstLineChars="0"/>
      </w:pPr>
      <w:r>
        <w:rPr>
          <w:rFonts w:hint="eastAsia" w:cs="宋体"/>
          <w:b/>
          <w:bCs/>
          <w:i w:val="0"/>
          <w:iCs w:val="0"/>
          <w:caps w:val="0"/>
          <w:smallCaps w:val="0"/>
          <w:strike w:val="0"/>
          <w:dstrike w:val="0"/>
          <w:vanish w:val="0"/>
          <w:color w:val="000000"/>
          <w:spacing w:val="0"/>
          <w:position w:val="0"/>
          <w:sz w:val="24"/>
          <w:szCs w:val="24"/>
          <w:u w:val="none"/>
          <w:vertAlign w:val="baseline"/>
          <w:lang w:val="en-US" w:eastAsia="zh-CN" w:bidi="ar-SA"/>
          <w14:shadow w14:blurRad="0" w14:dist="0" w14:dir="0" w14:sx="0" w14:sy="0" w14:kx="0" w14:ky="0" w14:algn="none">
            <w14:srgbClr w14:val="000000"/>
          </w14:shadow>
          <w14:ligatures w14:val="none"/>
          <w14:numForm w14:val="default"/>
          <w14:numSpacing w14:val="default"/>
        </w:rPr>
        <w:t>1</w:t>
      </w:r>
      <w:r>
        <w:rPr>
          <w:rFonts w:hint="eastAsia" w:ascii="宋体" w:hAnsi="宋体" w:eastAsia="宋体" w:cs="宋体"/>
          <w:b/>
          <w:bCs/>
          <w:i w:val="0"/>
          <w:iCs w:val="0"/>
          <w:caps w:val="0"/>
          <w:smallCaps w:val="0"/>
          <w:strike w:val="0"/>
          <w:dstrike w:val="0"/>
          <w:vanish w:val="0"/>
          <w:color w:val="000000"/>
          <w:spacing w:val="0"/>
          <w:position w:val="0"/>
          <w:sz w:val="24"/>
          <w:szCs w:val="24"/>
          <w:u w:val="none"/>
          <w:vertAlign w:val="baseline"/>
          <w:lang w:val="en-US" w:eastAsia="zh-CN" w:bidi="ar-SA"/>
          <w14:shadow w14:blurRad="0" w14:dist="0" w14:dir="0" w14:sx="0" w14:sy="0" w14:kx="0" w14:ky="0" w14:algn="none">
            <w14:srgbClr w14:val="000000"/>
          </w14:shadow>
          <w14:ligatures w14:val="none"/>
          <w14:numForm w14:val="default"/>
          <w14:numSpacing w14:val="default"/>
        </w:rPr>
        <w:t>.1.1.1.3</w:t>
      </w:r>
      <w:r>
        <w:rPr>
          <w:rFonts w:hint="eastAsia"/>
        </w:rPr>
        <w:t>操作流程</w:t>
      </w:r>
    </w:p>
    <w:p w14:paraId="1B31F1A4">
      <w:r>
        <w:rPr>
          <w:rFonts w:hint="eastAsia"/>
        </w:rPr>
        <w:t>1</w:t>
      </w:r>
      <w:r>
        <w:t>.点击菜单栏中</w:t>
      </w:r>
      <w:r>
        <w:rPr>
          <w:rFonts w:hint="eastAsia"/>
          <w:lang w:eastAsia="zh-CN"/>
        </w:rPr>
        <w:t>药品</w:t>
      </w:r>
      <w:r>
        <w:t>授权管理</w:t>
      </w:r>
      <w:r>
        <w:rPr>
          <w:rFonts w:hint="eastAsia"/>
        </w:rPr>
        <w:t>-</w:t>
      </w:r>
      <w:r>
        <w:rPr>
          <w:rFonts w:hint="eastAsia"/>
          <w:lang w:eastAsia="zh-CN"/>
        </w:rPr>
        <w:t>药品</w:t>
      </w:r>
      <w:r>
        <w:rPr>
          <w:rFonts w:hint="eastAsia"/>
        </w:rPr>
        <w:t>产品授权，点击跳转到</w:t>
      </w:r>
      <w:r>
        <w:rPr>
          <w:rFonts w:hint="eastAsia"/>
          <w:lang w:eastAsia="zh-CN"/>
        </w:rPr>
        <w:t>药品</w:t>
      </w:r>
      <w:r>
        <w:rPr>
          <w:rFonts w:hint="eastAsia"/>
        </w:rPr>
        <w:t>产品授权页面，初始化展示已经被授权的信息数据。</w:t>
      </w:r>
    </w:p>
    <w:p w14:paraId="0FF150D4">
      <w:pPr>
        <w:pStyle w:val="8"/>
        <w:ind w:firstLine="480"/>
      </w:pPr>
    </w:p>
    <w:p w14:paraId="0B313EA3">
      <w:pPr>
        <w:pStyle w:val="8"/>
        <w:ind w:firstLine="0" w:firstLineChars="0"/>
      </w:pPr>
      <w:r>
        <w:drawing>
          <wp:inline distT="0" distB="0" distL="114300" distR="114300">
            <wp:extent cx="5386070" cy="2376805"/>
            <wp:effectExtent l="0" t="0" r="635"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5386070" cy="2376805"/>
                    </a:xfrm>
                    <a:prstGeom prst="rect">
                      <a:avLst/>
                    </a:prstGeom>
                    <a:noFill/>
                    <a:ln>
                      <a:noFill/>
                    </a:ln>
                  </pic:spPr>
                </pic:pic>
              </a:graphicData>
            </a:graphic>
          </wp:inline>
        </w:drawing>
      </w:r>
    </w:p>
    <w:p w14:paraId="52E5EB1C">
      <w:pPr>
        <w:pStyle w:val="8"/>
        <w:ind w:firstLine="0" w:firstLineChars="0"/>
      </w:pPr>
      <w:r>
        <w:t xml:space="preserve"> 2.点击列表中“授权产品数”中的数字可弹出产品明细弹窗供产品查询</w:t>
      </w:r>
      <w:r>
        <w:rPr>
          <w:rFonts w:hint="eastAsia"/>
        </w:rPr>
        <w:t>,</w:t>
      </w:r>
      <w:r>
        <w:t>点击右侧【查询】功能对数据进行查询，并可以通过跳转页面查看具体的审核状态信息及产品信息。</w:t>
      </w:r>
    </w:p>
    <w:p w14:paraId="3AEFC362">
      <w:pPr>
        <w:pStyle w:val="8"/>
        <w:ind w:firstLine="0" w:firstLineChars="0"/>
      </w:pPr>
      <w:r>
        <w:drawing>
          <wp:inline distT="0" distB="0" distL="114300" distR="114300">
            <wp:extent cx="5386070" cy="2463165"/>
            <wp:effectExtent l="0" t="0" r="635" b="889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5386070" cy="2463165"/>
                    </a:xfrm>
                    <a:prstGeom prst="rect">
                      <a:avLst/>
                    </a:prstGeom>
                    <a:noFill/>
                    <a:ln>
                      <a:noFill/>
                    </a:ln>
                  </pic:spPr>
                </pic:pic>
              </a:graphicData>
            </a:graphic>
          </wp:inline>
        </w:drawing>
      </w:r>
    </w:p>
    <w:p w14:paraId="518FE0C7">
      <w:pPr>
        <w:pStyle w:val="8"/>
        <w:ind w:firstLine="0" w:firstLineChars="0"/>
      </w:pPr>
      <w:r>
        <w:drawing>
          <wp:inline distT="0" distB="0" distL="114300" distR="114300">
            <wp:extent cx="5399405" cy="2435860"/>
            <wp:effectExtent l="0" t="0" r="8890" b="381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5399405" cy="2435860"/>
                    </a:xfrm>
                    <a:prstGeom prst="rect">
                      <a:avLst/>
                    </a:prstGeom>
                    <a:noFill/>
                    <a:ln>
                      <a:noFill/>
                    </a:ln>
                  </pic:spPr>
                </pic:pic>
              </a:graphicData>
            </a:graphic>
          </wp:inline>
        </w:drawing>
      </w:r>
    </w:p>
    <w:p w14:paraId="769145A0">
      <w:pPr>
        <w:pStyle w:val="8"/>
        <w:ind w:firstLine="0" w:firstLineChars="0"/>
      </w:pPr>
      <w:r>
        <w:rPr>
          <w:rFonts w:hint="eastAsia"/>
        </w:rPr>
        <w:t xml:space="preserve"> </w:t>
      </w:r>
      <w:r>
        <w:t xml:space="preserve"> 3.点击【新增】功能进行产品授权新增操作：</w:t>
      </w:r>
    </w:p>
    <w:p w14:paraId="08AD8F87">
      <w:pPr>
        <w:pStyle w:val="8"/>
        <w:ind w:firstLine="0" w:firstLineChars="0"/>
      </w:pPr>
      <w:r>
        <w:t>本企业生产——本企业授权给本企业——不需经办审核——新增授权不需要授权文件；</w:t>
      </w:r>
    </w:p>
    <w:p w14:paraId="1F684BCC">
      <w:pPr>
        <w:pStyle w:val="8"/>
        <w:ind w:firstLine="0" w:firstLineChars="0"/>
      </w:pPr>
      <w:r>
        <w:t>本企业代理——本企业授权给别的企业——</w:t>
      </w:r>
      <w:r>
        <w:rPr>
          <w:rFonts w:hint="eastAsia"/>
          <w:lang w:val="en-US" w:eastAsia="zh-CN"/>
        </w:rPr>
        <w:t>需新企业同意</w:t>
      </w:r>
      <w:r>
        <w:drawing>
          <wp:inline distT="0" distB="0" distL="114300" distR="114300">
            <wp:extent cx="5400040" cy="2449195"/>
            <wp:effectExtent l="0" t="0" r="825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400040" cy="2449195"/>
                    </a:xfrm>
                    <a:prstGeom prst="rect">
                      <a:avLst/>
                    </a:prstGeom>
                    <a:noFill/>
                    <a:ln>
                      <a:noFill/>
                    </a:ln>
                  </pic:spPr>
                </pic:pic>
              </a:graphicData>
            </a:graphic>
          </wp:inline>
        </w:drawing>
      </w:r>
    </w:p>
    <w:p w14:paraId="6A77DA01">
      <w:pPr>
        <w:pStyle w:val="8"/>
        <w:ind w:firstLine="0" w:firstLineChars="0"/>
      </w:pPr>
      <w:r>
        <w:rPr>
          <w:rFonts w:hint="eastAsia"/>
        </w:rPr>
        <w:t xml:space="preserve"> </w:t>
      </w:r>
      <w:r>
        <w:t xml:space="preserve">  4.点击【添加】对产品进行添加操作。</w:t>
      </w:r>
    </w:p>
    <w:p w14:paraId="43E7CF20">
      <w:pPr>
        <w:pStyle w:val="8"/>
        <w:ind w:firstLine="0" w:firstLineChars="0"/>
      </w:pPr>
      <w:r>
        <w:drawing>
          <wp:inline distT="0" distB="0" distL="114300" distR="114300">
            <wp:extent cx="5398770" cy="2435225"/>
            <wp:effectExtent l="0" t="0" r="9525" b="444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398770" cy="2435225"/>
                    </a:xfrm>
                    <a:prstGeom prst="rect">
                      <a:avLst/>
                    </a:prstGeom>
                    <a:noFill/>
                    <a:ln>
                      <a:noFill/>
                    </a:ln>
                  </pic:spPr>
                </pic:pic>
              </a:graphicData>
            </a:graphic>
          </wp:inline>
        </w:drawing>
      </w:r>
    </w:p>
    <w:p w14:paraId="5D6447B5">
      <w:pPr>
        <w:pStyle w:val="8"/>
        <w:ind w:firstLine="480"/>
      </w:pPr>
      <w:r>
        <w:rPr>
          <w:rFonts w:hint="eastAsia"/>
        </w:rPr>
        <w:t>5</w:t>
      </w:r>
      <w:r>
        <w:t>.产品添加完成后可进行【保存】或【提交】操作，也可以对添加的产品明细信息进行删除或添加操作，提交后授权方式为：本企业代理，需要进行审核确认。</w:t>
      </w:r>
    </w:p>
    <w:p w14:paraId="3F8E1D35">
      <w:pPr>
        <w:pStyle w:val="8"/>
        <w:ind w:firstLine="0" w:firstLineChars="0"/>
      </w:pPr>
      <w:r>
        <w:drawing>
          <wp:inline distT="0" distB="0" distL="114300" distR="114300">
            <wp:extent cx="5400040" cy="2451735"/>
            <wp:effectExtent l="0" t="0" r="825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400040" cy="2451735"/>
                    </a:xfrm>
                    <a:prstGeom prst="rect">
                      <a:avLst/>
                    </a:prstGeom>
                    <a:noFill/>
                    <a:ln>
                      <a:noFill/>
                    </a:ln>
                  </pic:spPr>
                </pic:pic>
              </a:graphicData>
            </a:graphic>
          </wp:inline>
        </w:drawing>
      </w:r>
    </w:p>
    <w:p w14:paraId="4A0351FF">
      <w:pPr>
        <w:pStyle w:val="8"/>
        <w:ind w:firstLine="0" w:firstLineChars="0"/>
      </w:pPr>
      <w:r>
        <w:rPr>
          <w:rFonts w:hint="eastAsia"/>
        </w:rPr>
        <w:t xml:space="preserve"> </w:t>
      </w:r>
      <w:r>
        <w:t xml:space="preserve"> 6.点击tab【被授权信息】，页面展示已被授权的信息。</w:t>
      </w:r>
    </w:p>
    <w:p w14:paraId="29FC58DC">
      <w:pPr>
        <w:pStyle w:val="8"/>
        <w:ind w:firstLine="0" w:firstLineChars="0"/>
      </w:pPr>
    </w:p>
    <w:p w14:paraId="201FCE9C">
      <w:pPr>
        <w:pStyle w:val="8"/>
        <w:ind w:firstLine="0" w:firstLineChars="0"/>
      </w:pPr>
      <w:r>
        <w:drawing>
          <wp:inline distT="0" distB="0" distL="114300" distR="114300">
            <wp:extent cx="5391150" cy="2487930"/>
            <wp:effectExtent l="0" t="0" r="6350" b="571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5391150" cy="2487930"/>
                    </a:xfrm>
                    <a:prstGeom prst="rect">
                      <a:avLst/>
                    </a:prstGeom>
                    <a:noFill/>
                    <a:ln>
                      <a:noFill/>
                    </a:ln>
                  </pic:spPr>
                </pic:pic>
              </a:graphicData>
            </a:graphic>
          </wp:inline>
        </w:drawing>
      </w:r>
    </w:p>
    <w:p w14:paraId="4D511479">
      <w:pPr>
        <w:pStyle w:val="5"/>
        <w:numPr>
          <w:ilvl w:val="3"/>
          <w:numId w:val="0"/>
        </w:numPr>
        <w:ind w:left="680" w:leftChars="0" w:hanging="680" w:firstLineChars="0"/>
      </w:pPr>
      <w:r>
        <w:rPr>
          <w:rFonts w:hint="eastAsia" w:ascii="宋体" w:hAnsi="宋体" w:cs="Times New Roman"/>
          <w:b/>
          <w:bCs/>
          <w:i w:val="0"/>
          <w:iCs w:val="0"/>
          <w:caps w:val="0"/>
          <w:smallCaps w:val="0"/>
          <w:strike w:val="0"/>
          <w:dstrike w:val="0"/>
          <w:vanish w:val="0"/>
          <w:color w:val="000000"/>
          <w:spacing w:val="0"/>
          <w:position w:val="0"/>
          <w:sz w:val="24"/>
          <w:szCs w:val="22"/>
          <w:u w:val="none"/>
          <w:vertAlign w:val="baseline"/>
          <w:lang w:val="en-US" w:eastAsia="zh-CN" w:bidi="ar-SA"/>
          <w14:shadow w14:blurRad="0" w14:dist="0" w14:dir="0" w14:sx="0" w14:sy="0" w14:kx="0" w14:ky="0" w14:algn="none">
            <w14:srgbClr w14:val="000000"/>
          </w14:shadow>
          <w14:ligatures w14:val="none"/>
          <w14:numForm w14:val="default"/>
          <w14:numSpacing w14:val="default"/>
        </w:rPr>
        <w:t>1</w:t>
      </w:r>
      <w:r>
        <w:rPr>
          <w:rFonts w:hint="eastAsia" w:ascii="宋体" w:hAnsi="宋体" w:eastAsia="宋体" w:cs="Times New Roman"/>
          <w:b/>
          <w:bCs/>
          <w:i w:val="0"/>
          <w:iCs w:val="0"/>
          <w:caps w:val="0"/>
          <w:smallCaps w:val="0"/>
          <w:strike w:val="0"/>
          <w:dstrike w:val="0"/>
          <w:vanish w:val="0"/>
          <w:color w:val="000000"/>
          <w:spacing w:val="0"/>
          <w:position w:val="0"/>
          <w:sz w:val="24"/>
          <w:szCs w:val="22"/>
          <w:u w:val="none"/>
          <w:vertAlign w:val="baseline"/>
          <w:lang w:val="en-US" w:eastAsia="zh-CN" w:bidi="ar-SA"/>
          <w14:shadow w14:blurRad="0" w14:dist="0" w14:dir="0" w14:sx="0" w14:sy="0" w14:kx="0" w14:ky="0" w14:algn="none">
            <w14:srgbClr w14:val="000000"/>
          </w14:shadow>
          <w14:ligatures w14:val="none"/>
          <w14:numForm w14:val="default"/>
          <w14:numSpacing w14:val="default"/>
        </w:rPr>
        <w:t>.1.1.2</w:t>
      </w:r>
      <w:r>
        <w:rPr>
          <w:rFonts w:hint="eastAsia"/>
        </w:rPr>
        <w:t>我的</w:t>
      </w:r>
      <w:r>
        <w:rPr>
          <w:rFonts w:hint="eastAsia"/>
          <w:lang w:eastAsia="zh-CN"/>
        </w:rPr>
        <w:t>药品</w:t>
      </w:r>
      <w:r>
        <w:rPr>
          <w:rFonts w:hint="eastAsia"/>
        </w:rPr>
        <w:t>产品</w:t>
      </w:r>
    </w:p>
    <w:p w14:paraId="3A8B487D">
      <w:pPr>
        <w:pStyle w:val="6"/>
        <w:numPr>
          <w:ilvl w:val="4"/>
          <w:numId w:val="0"/>
        </w:numPr>
        <w:ind w:left="822" w:leftChars="0" w:hanging="680" w:firstLineChars="0"/>
      </w:pPr>
      <w:r>
        <w:rPr>
          <w:rFonts w:hint="eastAsia" w:cs="宋体"/>
          <w:b/>
          <w:bCs/>
          <w:i w:val="0"/>
          <w:iCs w:val="0"/>
          <w:caps w:val="0"/>
          <w:smallCaps w:val="0"/>
          <w:strike w:val="0"/>
          <w:dstrike w:val="0"/>
          <w:vanish w:val="0"/>
          <w:color w:val="000000"/>
          <w:spacing w:val="0"/>
          <w:position w:val="0"/>
          <w:sz w:val="24"/>
          <w:szCs w:val="24"/>
          <w:u w:val="none"/>
          <w:vertAlign w:val="baseline"/>
          <w:lang w:val="en-US" w:eastAsia="zh-CN" w:bidi="ar-SA"/>
          <w14:shadow w14:blurRad="0" w14:dist="0" w14:dir="0" w14:sx="0" w14:sy="0" w14:kx="0" w14:ky="0" w14:algn="none">
            <w14:srgbClr w14:val="000000"/>
          </w14:shadow>
          <w14:ligatures w14:val="none"/>
          <w14:numForm w14:val="default"/>
          <w14:numSpacing w14:val="default"/>
        </w:rPr>
        <w:t>1</w:t>
      </w:r>
      <w:r>
        <w:rPr>
          <w:rFonts w:hint="eastAsia" w:ascii="宋体" w:hAnsi="宋体" w:eastAsia="宋体" w:cs="宋体"/>
          <w:b/>
          <w:bCs/>
          <w:i w:val="0"/>
          <w:iCs w:val="0"/>
          <w:caps w:val="0"/>
          <w:smallCaps w:val="0"/>
          <w:strike w:val="0"/>
          <w:dstrike w:val="0"/>
          <w:vanish w:val="0"/>
          <w:color w:val="000000"/>
          <w:spacing w:val="0"/>
          <w:position w:val="0"/>
          <w:sz w:val="24"/>
          <w:szCs w:val="24"/>
          <w:u w:val="none"/>
          <w:vertAlign w:val="baseline"/>
          <w:lang w:val="en-US" w:eastAsia="zh-CN" w:bidi="ar-SA"/>
          <w14:shadow w14:blurRad="0" w14:dist="0" w14:dir="0" w14:sx="0" w14:sy="0" w14:kx="0" w14:ky="0" w14:algn="none">
            <w14:srgbClr w14:val="000000"/>
          </w14:shadow>
          <w14:ligatures w14:val="none"/>
          <w14:numForm w14:val="default"/>
          <w14:numSpacing w14:val="default"/>
        </w:rPr>
        <w:t>.1.1.2.1</w:t>
      </w:r>
      <w:r>
        <w:rPr>
          <w:rFonts w:hint="eastAsia"/>
        </w:rPr>
        <w:t>功能描述</w:t>
      </w:r>
    </w:p>
    <w:p w14:paraId="0C68B7C8">
      <w:pPr>
        <w:pStyle w:val="11"/>
        <w:ind w:left="1440" w:firstLine="480"/>
        <w:rPr>
          <w:sz w:val="24"/>
        </w:rPr>
      </w:pPr>
      <w:r>
        <w:rPr>
          <w:rFonts w:hint="eastAsia"/>
          <w:sz w:val="24"/>
        </w:rPr>
        <w:t>查看本企业产品授权信息以及本企业被授权的产品信息。</w:t>
      </w:r>
    </w:p>
    <w:p w14:paraId="285F3B5D">
      <w:pPr>
        <w:pStyle w:val="6"/>
        <w:numPr>
          <w:ilvl w:val="4"/>
          <w:numId w:val="0"/>
        </w:numPr>
        <w:ind w:left="822" w:leftChars="0" w:hanging="680" w:firstLineChars="0"/>
      </w:pPr>
      <w:r>
        <w:rPr>
          <w:rFonts w:hint="eastAsia" w:cs="宋体"/>
          <w:b/>
          <w:bCs/>
          <w:i w:val="0"/>
          <w:iCs w:val="0"/>
          <w:caps w:val="0"/>
          <w:smallCaps w:val="0"/>
          <w:strike w:val="0"/>
          <w:dstrike w:val="0"/>
          <w:vanish w:val="0"/>
          <w:color w:val="000000"/>
          <w:spacing w:val="0"/>
          <w:position w:val="0"/>
          <w:sz w:val="24"/>
          <w:szCs w:val="24"/>
          <w:u w:val="none"/>
          <w:vertAlign w:val="baseline"/>
          <w:lang w:val="en-US" w:eastAsia="zh-CN" w:bidi="ar-SA"/>
          <w14:shadow w14:blurRad="0" w14:dist="0" w14:dir="0" w14:sx="0" w14:sy="0" w14:kx="0" w14:ky="0" w14:algn="none">
            <w14:srgbClr w14:val="000000"/>
          </w14:shadow>
          <w14:ligatures w14:val="none"/>
          <w14:numForm w14:val="default"/>
          <w14:numSpacing w14:val="default"/>
        </w:rPr>
        <w:t>1</w:t>
      </w:r>
      <w:r>
        <w:rPr>
          <w:rFonts w:hint="eastAsia" w:ascii="宋体" w:hAnsi="宋体" w:eastAsia="宋体" w:cs="宋体"/>
          <w:b/>
          <w:bCs/>
          <w:i w:val="0"/>
          <w:iCs w:val="0"/>
          <w:caps w:val="0"/>
          <w:smallCaps w:val="0"/>
          <w:strike w:val="0"/>
          <w:dstrike w:val="0"/>
          <w:vanish w:val="0"/>
          <w:color w:val="000000"/>
          <w:spacing w:val="0"/>
          <w:position w:val="0"/>
          <w:sz w:val="24"/>
          <w:szCs w:val="24"/>
          <w:u w:val="none"/>
          <w:vertAlign w:val="baseline"/>
          <w:lang w:val="en-US" w:eastAsia="zh-CN" w:bidi="ar-SA"/>
          <w14:shadow w14:blurRad="0" w14:dist="0" w14:dir="0" w14:sx="0" w14:sy="0" w14:kx="0" w14:ky="0" w14:algn="none">
            <w14:srgbClr w14:val="000000"/>
          </w14:shadow>
          <w14:ligatures w14:val="none"/>
          <w14:numForm w14:val="default"/>
          <w14:numSpacing w14:val="default"/>
        </w:rPr>
        <w:t>.1.1.2.2</w:t>
      </w:r>
      <w:r>
        <w:rPr>
          <w:rFonts w:hint="eastAsia"/>
        </w:rPr>
        <w:t>操作权限</w:t>
      </w:r>
    </w:p>
    <w:p w14:paraId="6875321A">
      <w:pPr>
        <w:pStyle w:val="11"/>
        <w:tabs>
          <w:tab w:val="left" w:pos="232"/>
        </w:tabs>
        <w:ind w:left="1440" w:firstLine="480"/>
        <w:rPr>
          <w:sz w:val="24"/>
        </w:rPr>
      </w:pPr>
      <w:r>
        <w:rPr>
          <w:rFonts w:hint="eastAsia"/>
          <w:sz w:val="24"/>
        </w:rPr>
        <w:t>生产/代理企业：</w:t>
      </w:r>
      <w:r>
        <w:rPr>
          <w:rFonts w:hint="eastAsia"/>
          <w:sz w:val="24"/>
          <w:lang w:eastAsia="zh-CN"/>
        </w:rPr>
        <w:t>药品</w:t>
      </w:r>
      <w:r>
        <w:rPr>
          <w:rFonts w:hint="eastAsia"/>
          <w:sz w:val="24"/>
        </w:rPr>
        <w:t>授权。</w:t>
      </w:r>
    </w:p>
    <w:p w14:paraId="73100F0C">
      <w:pPr>
        <w:pStyle w:val="6"/>
        <w:numPr>
          <w:ilvl w:val="4"/>
          <w:numId w:val="0"/>
        </w:numPr>
        <w:ind w:left="822" w:leftChars="0" w:hanging="680" w:firstLineChars="0"/>
      </w:pPr>
      <w:r>
        <w:rPr>
          <w:rFonts w:hint="eastAsia" w:cs="宋体"/>
          <w:b/>
          <w:bCs/>
          <w:i w:val="0"/>
          <w:iCs w:val="0"/>
          <w:caps w:val="0"/>
          <w:smallCaps w:val="0"/>
          <w:strike w:val="0"/>
          <w:dstrike w:val="0"/>
          <w:vanish w:val="0"/>
          <w:color w:val="000000"/>
          <w:spacing w:val="0"/>
          <w:position w:val="0"/>
          <w:sz w:val="24"/>
          <w:szCs w:val="24"/>
          <w:u w:val="none"/>
          <w:vertAlign w:val="baseline"/>
          <w:lang w:val="en-US" w:eastAsia="zh-CN" w:bidi="ar-SA"/>
          <w14:shadow w14:blurRad="0" w14:dist="0" w14:dir="0" w14:sx="0" w14:sy="0" w14:kx="0" w14:ky="0" w14:algn="none">
            <w14:srgbClr w14:val="000000"/>
          </w14:shadow>
          <w14:ligatures w14:val="none"/>
          <w14:numForm w14:val="default"/>
          <w14:numSpacing w14:val="default"/>
        </w:rPr>
        <w:t>1</w:t>
      </w:r>
      <w:r>
        <w:rPr>
          <w:rFonts w:hint="eastAsia" w:ascii="宋体" w:hAnsi="宋体" w:eastAsia="宋体" w:cs="宋体"/>
          <w:b/>
          <w:bCs/>
          <w:i w:val="0"/>
          <w:iCs w:val="0"/>
          <w:caps w:val="0"/>
          <w:smallCaps w:val="0"/>
          <w:strike w:val="0"/>
          <w:dstrike w:val="0"/>
          <w:vanish w:val="0"/>
          <w:color w:val="000000"/>
          <w:spacing w:val="0"/>
          <w:position w:val="0"/>
          <w:sz w:val="24"/>
          <w:szCs w:val="24"/>
          <w:u w:val="none"/>
          <w:vertAlign w:val="baseline"/>
          <w:lang w:val="en-US" w:eastAsia="zh-CN" w:bidi="ar-SA"/>
          <w14:shadow w14:blurRad="0" w14:dist="0" w14:dir="0" w14:sx="0" w14:sy="0" w14:kx="0" w14:ky="0" w14:algn="none">
            <w14:srgbClr w14:val="000000"/>
          </w14:shadow>
          <w14:ligatures w14:val="none"/>
          <w14:numForm w14:val="default"/>
          <w14:numSpacing w14:val="default"/>
        </w:rPr>
        <w:t>.1.1.2.3</w:t>
      </w:r>
      <w:r>
        <w:rPr>
          <w:rFonts w:hint="eastAsia"/>
        </w:rPr>
        <w:t>操作流程</w:t>
      </w:r>
    </w:p>
    <w:p w14:paraId="4A1E2603">
      <w:r>
        <w:rPr>
          <w:rFonts w:hint="eastAsia"/>
        </w:rPr>
        <w:t>1</w:t>
      </w:r>
      <w:r>
        <w:t>.点击菜单栏中</w:t>
      </w:r>
      <w:r>
        <w:rPr>
          <w:rFonts w:hint="eastAsia"/>
          <w:lang w:eastAsia="zh-CN"/>
        </w:rPr>
        <w:t>药品</w:t>
      </w:r>
      <w:r>
        <w:t>授权管理</w:t>
      </w:r>
      <w:r>
        <w:rPr>
          <w:rFonts w:hint="eastAsia"/>
        </w:rPr>
        <w:t>-我的</w:t>
      </w:r>
      <w:r>
        <w:rPr>
          <w:rFonts w:hint="eastAsia"/>
          <w:lang w:eastAsia="zh-CN"/>
        </w:rPr>
        <w:t>药品</w:t>
      </w:r>
      <w:r>
        <w:rPr>
          <w:rFonts w:hint="eastAsia"/>
        </w:rPr>
        <w:t>产品，点击跳转到产品信息查询页面，初始化展示授权给本企业的信息数据。</w:t>
      </w:r>
    </w:p>
    <w:p w14:paraId="50E9C185">
      <w:pPr>
        <w:pStyle w:val="8"/>
        <w:ind w:firstLine="0" w:firstLineChars="0"/>
      </w:pPr>
      <w:r>
        <w:drawing>
          <wp:inline distT="0" distB="0" distL="114300" distR="114300">
            <wp:extent cx="5387340" cy="2457450"/>
            <wp:effectExtent l="0" t="0" r="10160" b="381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3"/>
                    <a:stretch>
                      <a:fillRect/>
                    </a:stretch>
                  </pic:blipFill>
                  <pic:spPr>
                    <a:xfrm>
                      <a:off x="0" y="0"/>
                      <a:ext cx="5387340" cy="2457450"/>
                    </a:xfrm>
                    <a:prstGeom prst="rect">
                      <a:avLst/>
                    </a:prstGeom>
                    <a:noFill/>
                    <a:ln>
                      <a:noFill/>
                    </a:ln>
                  </pic:spPr>
                </pic:pic>
              </a:graphicData>
            </a:graphic>
          </wp:inline>
        </w:drawing>
      </w:r>
    </w:p>
    <w:p w14:paraId="32C85447">
      <w:pPr>
        <w:pStyle w:val="8"/>
        <w:ind w:firstLine="0" w:firstLineChars="0"/>
      </w:pPr>
      <w:r>
        <w:rPr>
          <w:rFonts w:hint="eastAsia"/>
        </w:rPr>
        <w:t xml:space="preserve"> </w:t>
      </w:r>
      <w:r>
        <w:t xml:space="preserve">  2.点击【详情】查看产品明细具体信息。</w:t>
      </w:r>
    </w:p>
    <w:p w14:paraId="5474B9AA">
      <w:pPr>
        <w:pStyle w:val="8"/>
        <w:ind w:firstLine="0" w:firstLineChars="0"/>
      </w:pPr>
      <w:r>
        <w:drawing>
          <wp:inline distT="0" distB="0" distL="114300" distR="114300">
            <wp:extent cx="5396865" cy="2468880"/>
            <wp:effectExtent l="0" t="0" r="635" b="317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4"/>
                    <a:stretch>
                      <a:fillRect/>
                    </a:stretch>
                  </pic:blipFill>
                  <pic:spPr>
                    <a:xfrm>
                      <a:off x="0" y="0"/>
                      <a:ext cx="5396865" cy="2468880"/>
                    </a:xfrm>
                    <a:prstGeom prst="rect">
                      <a:avLst/>
                    </a:prstGeom>
                    <a:noFill/>
                    <a:ln>
                      <a:noFill/>
                    </a:ln>
                  </pic:spPr>
                </pic:pic>
              </a:graphicData>
            </a:graphic>
          </wp:inline>
        </w:drawing>
      </w:r>
    </w:p>
    <w:p w14:paraId="6CF5086D">
      <w:pPr>
        <w:pStyle w:val="8"/>
        <w:ind w:firstLine="0" w:firstLineChars="0"/>
      </w:pPr>
      <w:r>
        <w:rPr>
          <w:rFonts w:hint="eastAsia"/>
        </w:rPr>
        <w:t xml:space="preserve"> </w:t>
      </w:r>
      <w:r>
        <w:t xml:space="preserve"> 3.点击【导出】功能，将本企业授权的产品导出数据展示。</w:t>
      </w:r>
    </w:p>
    <w:p w14:paraId="4192372B">
      <w:pPr>
        <w:pStyle w:val="8"/>
        <w:ind w:firstLine="0" w:firstLineChars="0"/>
      </w:pPr>
      <w:r>
        <w:drawing>
          <wp:inline distT="0" distB="0" distL="114300" distR="114300">
            <wp:extent cx="5387340" cy="2449195"/>
            <wp:effectExtent l="0" t="0" r="10160" b="127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5"/>
                    <a:stretch>
                      <a:fillRect/>
                    </a:stretch>
                  </pic:blipFill>
                  <pic:spPr>
                    <a:xfrm>
                      <a:off x="0" y="0"/>
                      <a:ext cx="5387340" cy="2449195"/>
                    </a:xfrm>
                    <a:prstGeom prst="rect">
                      <a:avLst/>
                    </a:prstGeom>
                    <a:noFill/>
                    <a:ln>
                      <a:noFill/>
                    </a:ln>
                  </pic:spPr>
                </pic:pic>
              </a:graphicData>
            </a:graphic>
          </wp:inline>
        </w:drawing>
      </w:r>
    </w:p>
    <w:p w14:paraId="1E5A63E7">
      <w:pPr>
        <w:pStyle w:val="4"/>
        <w:numPr>
          <w:ilvl w:val="2"/>
          <w:numId w:val="0"/>
        </w:numPr>
        <w:ind w:left="680" w:leftChars="0" w:hanging="680" w:firstLineChars="0"/>
      </w:pPr>
      <w:bookmarkStart w:id="2" w:name="_Toc169191025"/>
      <w:r>
        <w:rPr>
          <w:rFonts w:hint="eastAsia" w:cs="宋体"/>
          <w:b/>
          <w:bCs w:val="0"/>
          <w:sz w:val="28"/>
          <w:szCs w:val="32"/>
          <w:lang w:val="en-US" w:eastAsia="zh-CN" w:bidi="ar-SA"/>
        </w:rPr>
        <w:t>1</w:t>
      </w:r>
      <w:r>
        <w:rPr>
          <w:rFonts w:hint="eastAsia" w:ascii="宋体" w:hAnsi="宋体" w:eastAsia="宋体" w:cs="宋体"/>
          <w:b/>
          <w:bCs w:val="0"/>
          <w:sz w:val="28"/>
          <w:szCs w:val="32"/>
          <w:lang w:val="en-US" w:eastAsia="zh-CN" w:bidi="ar-SA"/>
        </w:rPr>
        <w:t>.1.2</w:t>
      </w:r>
      <w:r>
        <w:rPr>
          <w:rFonts w:hint="eastAsia"/>
        </w:rPr>
        <w:t>企业信息管理</w:t>
      </w:r>
      <w:bookmarkEnd w:id="2"/>
    </w:p>
    <w:p w14:paraId="0CB74F11">
      <w:pPr>
        <w:pStyle w:val="5"/>
        <w:numPr>
          <w:ilvl w:val="3"/>
          <w:numId w:val="0"/>
        </w:numPr>
        <w:ind w:left="680" w:leftChars="0" w:hanging="680" w:firstLineChars="0"/>
      </w:pPr>
      <w:r>
        <w:rPr>
          <w:rFonts w:hint="eastAsia" w:ascii="宋体" w:hAnsi="宋体" w:cs="Times New Roman"/>
          <w:b/>
          <w:bCs/>
          <w:i w:val="0"/>
          <w:iCs w:val="0"/>
          <w:caps w:val="0"/>
          <w:smallCaps w:val="0"/>
          <w:strike w:val="0"/>
          <w:dstrike w:val="0"/>
          <w:vanish w:val="0"/>
          <w:color w:val="000000"/>
          <w:spacing w:val="0"/>
          <w:position w:val="0"/>
          <w:sz w:val="24"/>
          <w:szCs w:val="22"/>
          <w:u w:val="none"/>
          <w:vertAlign w:val="baseline"/>
          <w:lang w:val="en-US" w:eastAsia="zh-CN" w:bidi="ar-SA"/>
          <w14:shadow w14:blurRad="0" w14:dist="0" w14:dir="0" w14:sx="0" w14:sy="0" w14:kx="0" w14:ky="0" w14:algn="none">
            <w14:srgbClr w14:val="000000"/>
          </w14:shadow>
          <w14:ligatures w14:val="none"/>
          <w14:numForm w14:val="default"/>
          <w14:numSpacing w14:val="default"/>
        </w:rPr>
        <w:t>1</w:t>
      </w:r>
      <w:r>
        <w:rPr>
          <w:rFonts w:hint="eastAsia" w:ascii="宋体" w:hAnsi="宋体" w:eastAsia="宋体" w:cs="Times New Roman"/>
          <w:b/>
          <w:bCs/>
          <w:i w:val="0"/>
          <w:iCs w:val="0"/>
          <w:caps w:val="0"/>
          <w:smallCaps w:val="0"/>
          <w:strike w:val="0"/>
          <w:dstrike w:val="0"/>
          <w:vanish w:val="0"/>
          <w:color w:val="000000"/>
          <w:spacing w:val="0"/>
          <w:position w:val="0"/>
          <w:sz w:val="24"/>
          <w:szCs w:val="22"/>
          <w:u w:val="none"/>
          <w:vertAlign w:val="baseline"/>
          <w:lang w:val="en-US" w:eastAsia="zh-CN" w:bidi="ar-SA"/>
          <w14:shadow w14:blurRad="0" w14:dist="0" w14:dir="0" w14:sx="0" w14:sy="0" w14:kx="0" w14:ky="0" w14:algn="none">
            <w14:srgbClr w14:val="000000"/>
          </w14:shadow>
          <w14:ligatures w14:val="none"/>
          <w14:numForm w14:val="default"/>
          <w14:numSpacing w14:val="default"/>
        </w:rPr>
        <w:t>.1.2.1</w:t>
      </w:r>
      <w:r>
        <w:rPr>
          <w:rFonts w:hint="eastAsia"/>
        </w:rPr>
        <w:t>企业信息管理</w:t>
      </w:r>
    </w:p>
    <w:p w14:paraId="6F60FEAD">
      <w:pPr>
        <w:pStyle w:val="6"/>
        <w:numPr>
          <w:ilvl w:val="4"/>
          <w:numId w:val="0"/>
        </w:numPr>
        <w:ind w:left="822" w:leftChars="0" w:hanging="680" w:firstLineChars="0"/>
      </w:pPr>
      <w:r>
        <w:rPr>
          <w:rFonts w:hint="eastAsia" w:ascii="宋体" w:hAnsi="宋体" w:eastAsia="宋体" w:cs="宋体"/>
          <w:b/>
          <w:bCs/>
          <w:i w:val="0"/>
          <w:iCs w:val="0"/>
          <w:caps w:val="0"/>
          <w:smallCaps w:val="0"/>
          <w:strike w:val="0"/>
          <w:dstrike w:val="0"/>
          <w:vanish w:val="0"/>
          <w:color w:val="000000"/>
          <w:spacing w:val="0"/>
          <w:position w:val="0"/>
          <w:sz w:val="24"/>
          <w:szCs w:val="24"/>
          <w:u w:val="none"/>
          <w:vertAlign w:val="baseline"/>
          <w:lang w:val="en-US" w:eastAsia="zh-CN" w:bidi="ar-SA"/>
          <w14:shadow w14:blurRad="0" w14:dist="0" w14:dir="0" w14:sx="0" w14:sy="0" w14:kx="0" w14:ky="0" w14:algn="none">
            <w14:srgbClr w14:val="000000"/>
          </w14:shadow>
          <w14:ligatures w14:val="none"/>
          <w14:numForm w14:val="default"/>
          <w14:numSpacing w14:val="default"/>
        </w:rPr>
        <w:t>5.1.2.1.1</w:t>
      </w:r>
      <w:r>
        <w:rPr>
          <w:rFonts w:hint="eastAsia"/>
        </w:rPr>
        <w:t>功能描述</w:t>
      </w:r>
    </w:p>
    <w:p w14:paraId="65A60949">
      <w:r>
        <w:t>获取登录企业的：企业名称、统一社会信用代码、企业类型（当前企业认证的角色类型），选择业务范围，输入企业资质信息进行提交。修改对应业务范围生效后，开放对应的业务模块。</w:t>
      </w:r>
    </w:p>
    <w:p w14:paraId="2DBF1F78">
      <w:pPr>
        <w:pStyle w:val="6"/>
        <w:numPr>
          <w:ilvl w:val="4"/>
          <w:numId w:val="0"/>
        </w:numPr>
        <w:ind w:left="822" w:leftChars="0" w:hanging="680" w:firstLineChars="0"/>
      </w:pPr>
      <w:r>
        <w:rPr>
          <w:rFonts w:hint="eastAsia" w:cs="宋体"/>
          <w:b/>
          <w:bCs/>
          <w:i w:val="0"/>
          <w:iCs w:val="0"/>
          <w:caps w:val="0"/>
          <w:smallCaps w:val="0"/>
          <w:strike w:val="0"/>
          <w:dstrike w:val="0"/>
          <w:vanish w:val="0"/>
          <w:color w:val="000000"/>
          <w:spacing w:val="0"/>
          <w:position w:val="0"/>
          <w:sz w:val="24"/>
          <w:szCs w:val="24"/>
          <w:u w:val="none"/>
          <w:vertAlign w:val="baseline"/>
          <w:lang w:val="en-US" w:eastAsia="zh-CN" w:bidi="ar-SA"/>
          <w14:shadow w14:blurRad="0" w14:dist="0" w14:dir="0" w14:sx="0" w14:sy="0" w14:kx="0" w14:ky="0" w14:algn="none">
            <w14:srgbClr w14:val="000000"/>
          </w14:shadow>
          <w14:ligatures w14:val="none"/>
          <w14:numForm w14:val="default"/>
          <w14:numSpacing w14:val="default"/>
        </w:rPr>
        <w:t>1</w:t>
      </w:r>
      <w:r>
        <w:rPr>
          <w:rFonts w:hint="eastAsia" w:ascii="宋体" w:hAnsi="宋体" w:eastAsia="宋体" w:cs="宋体"/>
          <w:b/>
          <w:bCs/>
          <w:i w:val="0"/>
          <w:iCs w:val="0"/>
          <w:caps w:val="0"/>
          <w:smallCaps w:val="0"/>
          <w:strike w:val="0"/>
          <w:dstrike w:val="0"/>
          <w:vanish w:val="0"/>
          <w:color w:val="000000"/>
          <w:spacing w:val="0"/>
          <w:position w:val="0"/>
          <w:sz w:val="24"/>
          <w:szCs w:val="24"/>
          <w:u w:val="none"/>
          <w:vertAlign w:val="baseline"/>
          <w:lang w:val="en-US" w:eastAsia="zh-CN" w:bidi="ar-SA"/>
          <w14:shadow w14:blurRad="0" w14:dist="0" w14:dir="0" w14:sx="0" w14:sy="0" w14:kx="0" w14:ky="0" w14:algn="none">
            <w14:srgbClr w14:val="000000"/>
          </w14:shadow>
          <w14:ligatures w14:val="none"/>
          <w14:numForm w14:val="default"/>
          <w14:numSpacing w14:val="default"/>
        </w:rPr>
        <w:t>.1.2.1.2</w:t>
      </w:r>
      <w:r>
        <w:rPr>
          <w:rFonts w:hint="eastAsia"/>
        </w:rPr>
        <w:t>操作流程</w:t>
      </w:r>
    </w:p>
    <w:p w14:paraId="1827124B">
      <w:r>
        <w:rPr>
          <w:rFonts w:hint="eastAsia"/>
        </w:rPr>
        <w:t>1</w:t>
      </w:r>
      <w:r>
        <w:t>.点击菜单栏中</w:t>
      </w:r>
      <w:r>
        <w:rPr>
          <w:rFonts w:hint="eastAsia"/>
        </w:rPr>
        <w:t>企业</w:t>
      </w:r>
      <w:r>
        <w:t>信息管理，跳转到企业基本信息页面，企业基本信息展示中企业如需修改业务范围可通过选项进行变更，企业的资质信息由企业填写并上传相关的文件信息</w:t>
      </w:r>
      <w:r>
        <w:rPr>
          <w:rFonts w:hint="eastAsia"/>
        </w:rPr>
        <w:t>。</w:t>
      </w:r>
    </w:p>
    <w:p w14:paraId="78C2B2A4">
      <w:pPr>
        <w:pStyle w:val="8"/>
        <w:ind w:firstLine="0" w:firstLineChars="0"/>
      </w:pPr>
      <w:r>
        <w:drawing>
          <wp:inline distT="0" distB="0" distL="0" distR="0">
            <wp:extent cx="5400040" cy="2552700"/>
            <wp:effectExtent l="0" t="0" r="8255"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6"/>
                    <a:stretch>
                      <a:fillRect/>
                    </a:stretch>
                  </pic:blipFill>
                  <pic:spPr>
                    <a:xfrm>
                      <a:off x="0" y="0"/>
                      <a:ext cx="5400040" cy="2552700"/>
                    </a:xfrm>
                    <a:prstGeom prst="rect">
                      <a:avLst/>
                    </a:prstGeom>
                  </pic:spPr>
                </pic:pic>
              </a:graphicData>
            </a:graphic>
          </wp:inline>
        </w:drawing>
      </w:r>
    </w:p>
    <w:p w14:paraId="6414ADA6">
      <w:r>
        <w:rPr>
          <w:rFonts w:hint="eastAsia"/>
        </w:rPr>
        <w:t>2</w:t>
      </w:r>
      <w:r>
        <w:t>.修改业务范围，勾选明细或取消勾选，输入经营范围。</w:t>
      </w:r>
    </w:p>
    <w:p w14:paraId="7DC8EFC8">
      <w:pPr>
        <w:pStyle w:val="8"/>
        <w:ind w:firstLine="0" w:firstLineChars="0"/>
      </w:pPr>
      <w:r>
        <w:drawing>
          <wp:inline distT="0" distB="0" distL="0" distR="0">
            <wp:extent cx="5400040" cy="2452370"/>
            <wp:effectExtent l="0" t="0" r="8255"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7"/>
                    <a:stretch>
                      <a:fillRect/>
                    </a:stretch>
                  </pic:blipFill>
                  <pic:spPr>
                    <a:xfrm>
                      <a:off x="0" y="0"/>
                      <a:ext cx="5400040" cy="2452370"/>
                    </a:xfrm>
                    <a:prstGeom prst="rect">
                      <a:avLst/>
                    </a:prstGeom>
                  </pic:spPr>
                </pic:pic>
              </a:graphicData>
            </a:graphic>
          </wp:inline>
        </w:drawing>
      </w:r>
    </w:p>
    <w:p w14:paraId="3A73018A">
      <w:pPr>
        <w:pStyle w:val="8"/>
        <w:ind w:firstLine="480"/>
      </w:pPr>
      <w:r>
        <w:rPr>
          <w:rFonts w:hint="eastAsia"/>
        </w:rPr>
        <w:t>3</w:t>
      </w:r>
      <w:r>
        <w:t>.点击企业资质信息和材料信息中各个tab名称，在右侧填写相关企业信息及上传相应文件，完成后进行【保存并提交】操作。</w:t>
      </w:r>
    </w:p>
    <w:p w14:paraId="76584EEE">
      <w:r>
        <w:drawing>
          <wp:inline distT="0" distB="0" distL="0" distR="0">
            <wp:extent cx="5400040" cy="2535555"/>
            <wp:effectExtent l="0" t="0" r="8255" b="12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8"/>
                    <a:stretch>
                      <a:fillRect/>
                    </a:stretch>
                  </pic:blipFill>
                  <pic:spPr>
                    <a:xfrm>
                      <a:off x="0" y="0"/>
                      <a:ext cx="5400040" cy="2535555"/>
                    </a:xfrm>
                    <a:prstGeom prst="rect">
                      <a:avLst/>
                    </a:prstGeom>
                  </pic:spPr>
                </pic:pic>
              </a:graphicData>
            </a:graphic>
          </wp:inline>
        </w:drawing>
      </w:r>
    </w:p>
    <w:p w14:paraId="53F1EFD2">
      <w:pPr>
        <w:pStyle w:val="8"/>
      </w:pPr>
    </w:p>
    <w:p w14:paraId="2A04E48E">
      <w:pPr>
        <w:pStyle w:val="8"/>
      </w:pPr>
    </w:p>
    <w:p w14:paraId="0C0A5ED2">
      <w:pPr>
        <w:pStyle w:val="8"/>
      </w:pPr>
    </w:p>
    <w:p w14:paraId="65D0F2D7">
      <w:pPr>
        <w:pStyle w:val="8"/>
      </w:pPr>
    </w:p>
    <w:p w14:paraId="25204CC9">
      <w:pPr>
        <w:pStyle w:val="8"/>
      </w:pPr>
    </w:p>
    <w:p w14:paraId="632AE9C0">
      <w:pPr>
        <w:pStyle w:val="8"/>
      </w:pPr>
    </w:p>
    <w:p w14:paraId="5744FC0D">
      <w:pPr>
        <w:pStyle w:val="8"/>
      </w:pPr>
    </w:p>
    <w:p w14:paraId="440377F2">
      <w:pPr>
        <w:pStyle w:val="8"/>
      </w:pPr>
    </w:p>
    <w:p w14:paraId="4944F91F">
      <w:pPr>
        <w:pStyle w:val="8"/>
      </w:pPr>
    </w:p>
    <w:p w14:paraId="1EC7BE8F">
      <w:pPr>
        <w:pStyle w:val="8"/>
      </w:pPr>
    </w:p>
    <w:p w14:paraId="694C57A8">
      <w:pPr>
        <w:pStyle w:val="8"/>
      </w:pPr>
    </w:p>
    <w:p w14:paraId="7BD5607A">
      <w:pPr>
        <w:pStyle w:val="8"/>
      </w:pPr>
    </w:p>
    <w:p w14:paraId="6E628DAC">
      <w:pPr>
        <w:pStyle w:val="8"/>
      </w:pPr>
    </w:p>
    <w:p w14:paraId="564B5C34">
      <w:pPr>
        <w:pStyle w:val="8"/>
      </w:pPr>
    </w:p>
    <w:p w14:paraId="17C885BD">
      <w:pPr>
        <w:pStyle w:val="8"/>
      </w:pPr>
    </w:p>
    <w:p w14:paraId="20E703AE">
      <w:pPr>
        <w:spacing w:line="540" w:lineRule="exact"/>
        <w:ind w:right="-120" w:rightChars="-50"/>
        <w:rPr>
          <w:rFonts w:ascii="黑体" w:hAnsi="黑体" w:eastAsia="黑体" w:cs="仿宋_GB2312"/>
          <w:sz w:val="32"/>
          <w:szCs w:val="32"/>
        </w:rPr>
      </w:pPr>
      <w:r>
        <w:rPr>
          <w:rFonts w:hint="eastAsia" w:ascii="黑体" w:hAnsi="黑体" w:eastAsia="黑体" w:cs="仿宋_GB2312"/>
          <w:sz w:val="32"/>
          <w:szCs w:val="32"/>
        </w:rPr>
        <w:t>附件1</w:t>
      </w:r>
      <w:r>
        <w:rPr>
          <w:rFonts w:ascii="黑体" w:hAnsi="黑体" w:eastAsia="黑体" w:cs="仿宋_GB2312"/>
          <w:sz w:val="32"/>
          <w:szCs w:val="32"/>
        </w:rPr>
        <w:t xml:space="preserve">     </w:t>
      </w:r>
      <w:r>
        <w:rPr>
          <w:rFonts w:hint="eastAsia" w:ascii="黑体" w:hAnsi="黑体" w:eastAsia="黑体" w:cs="仿宋_GB2312"/>
          <w:sz w:val="32"/>
          <w:szCs w:val="32"/>
        </w:rPr>
        <w:t xml:space="preserve">     </w:t>
      </w:r>
    </w:p>
    <w:p w14:paraId="44DB7145">
      <w:pPr>
        <w:spacing w:line="540" w:lineRule="exact"/>
        <w:ind w:right="-120" w:rightChars="-50"/>
        <w:jc w:val="left"/>
        <w:rPr>
          <w:rFonts w:ascii="黑体" w:hAnsi="黑体" w:eastAsia="黑体" w:cs="仿宋_GB2312"/>
          <w:sz w:val="32"/>
          <w:szCs w:val="32"/>
        </w:rPr>
      </w:pPr>
    </w:p>
    <w:p w14:paraId="0DB87BBD">
      <w:pPr>
        <w:spacing w:line="540" w:lineRule="exact"/>
        <w:ind w:left="960" w:right="-120" w:rightChars="-50" w:hanging="960" w:hangingChars="300"/>
        <w:jc w:val="left"/>
        <w:rPr>
          <w:rFonts w:ascii="仿宋_GB2312" w:eastAsia="仿宋_GB2312" w:cs="Times New Roman"/>
          <w:sz w:val="32"/>
          <w:szCs w:val="32"/>
          <w:u w:val="single"/>
        </w:rPr>
      </w:pPr>
      <w:r>
        <w:rPr>
          <w:rFonts w:hint="eastAsia" w:ascii="黑体" w:hAnsi="黑体" w:eastAsia="黑体" w:cs="仿宋_GB2312"/>
          <w:sz w:val="32"/>
          <w:szCs w:val="32"/>
        </w:rPr>
        <w:t>编号：</w:t>
      </w:r>
      <w:r>
        <w:rPr>
          <w:rFonts w:ascii="仿宋_GB2312" w:eastAsia="仿宋_GB2312" w:cs="仿宋_GB2312"/>
          <w:spacing w:val="-10"/>
          <w:sz w:val="32"/>
          <w:szCs w:val="32"/>
          <w:u w:val="single"/>
        </w:rPr>
        <w:t>CN</w:t>
      </w:r>
      <w:r>
        <w:rPr>
          <w:rFonts w:hint="eastAsia" w:ascii="仿宋_GB2312" w:eastAsia="仿宋_GB2312" w:cs="仿宋_GB2312"/>
          <w:color w:val="FF0000"/>
          <w:spacing w:val="-10"/>
          <w:sz w:val="32"/>
          <w:szCs w:val="32"/>
          <w:u w:val="single"/>
        </w:rPr>
        <w:t>6</w:t>
      </w:r>
      <w:r>
        <w:rPr>
          <w:rFonts w:ascii="仿宋_GB2312" w:eastAsia="仿宋_GB2312" w:cs="仿宋_GB2312"/>
          <w:color w:val="FF0000"/>
          <w:spacing w:val="-10"/>
          <w:sz w:val="32"/>
          <w:szCs w:val="32"/>
          <w:u w:val="single"/>
        </w:rPr>
        <w:t>5</w:t>
      </w:r>
      <w:r>
        <w:rPr>
          <w:rFonts w:hint="eastAsia" w:ascii="仿宋_GB2312" w:eastAsia="仿宋_GB2312" w:cs="仿宋_GB2312"/>
          <w:spacing w:val="-10"/>
          <w:sz w:val="32"/>
          <w:szCs w:val="32"/>
          <w:u w:val="single"/>
        </w:rPr>
        <w:t>企业码（统一社会信用代码）时间码（落款年月日）（企业自行认真填写）</w:t>
      </w:r>
      <w:r>
        <w:rPr>
          <w:rFonts w:ascii="仿宋_GB2312" w:eastAsia="仿宋_GB2312" w:cs="仿宋_GB2312"/>
          <w:sz w:val="32"/>
          <w:szCs w:val="32"/>
        </w:rPr>
        <w:t xml:space="preserve">   </w:t>
      </w:r>
    </w:p>
    <w:p w14:paraId="5F2C144F">
      <w:pPr>
        <w:spacing w:line="540" w:lineRule="exact"/>
        <w:ind w:right="-120" w:rightChars="-50"/>
        <w:jc w:val="right"/>
        <w:rPr>
          <w:rFonts w:ascii="Times New Roman" w:hAnsi="Times New Roman" w:eastAsia="华文中宋" w:cs="Times New Roman"/>
          <w:b/>
          <w:bCs/>
          <w:sz w:val="44"/>
          <w:szCs w:val="44"/>
        </w:rPr>
      </w:pPr>
    </w:p>
    <w:p w14:paraId="7DE0D5D4">
      <w:pPr>
        <w:spacing w:line="540" w:lineRule="exact"/>
        <w:ind w:left="-120" w:leftChars="-50" w:right="-120" w:rightChars="-50"/>
        <w:jc w:val="center"/>
        <w:rPr>
          <w:rFonts w:ascii="Times New Roman" w:hAnsi="Times New Roman" w:eastAsia="华文中宋" w:cs="Times New Roman"/>
          <w:sz w:val="44"/>
          <w:szCs w:val="44"/>
        </w:rPr>
      </w:pPr>
      <w:r>
        <w:rPr>
          <w:rFonts w:hint="eastAsia" w:ascii="Times New Roman" w:hAnsi="Times New Roman" w:eastAsia="华文中宋" w:cs="华文中宋"/>
          <w:b/>
          <w:bCs/>
          <w:sz w:val="44"/>
          <w:szCs w:val="44"/>
        </w:rPr>
        <w:t>医药企业价格和营销行为信用承诺书</w:t>
      </w:r>
    </w:p>
    <w:p w14:paraId="741C5A90">
      <w:pPr>
        <w:spacing w:line="540" w:lineRule="exact"/>
        <w:rPr>
          <w:rFonts w:ascii="Times New Roman" w:hAnsi="Times New Roman" w:cs="Times New Roman"/>
          <w:color w:val="444444"/>
          <w:sz w:val="32"/>
          <w:szCs w:val="32"/>
        </w:rPr>
      </w:pPr>
    </w:p>
    <w:p w14:paraId="1917D5CF">
      <w:pPr>
        <w:spacing w:line="540" w:lineRule="exact"/>
        <w:rPr>
          <w:rFonts w:ascii="仿宋_GB2312" w:hAnsi="Times New Roman" w:eastAsia="仿宋_GB2312" w:cs="Times New Roman"/>
          <w:sz w:val="32"/>
          <w:szCs w:val="32"/>
        </w:rPr>
      </w:pPr>
      <w:r>
        <w:rPr>
          <w:rFonts w:hint="eastAsia" w:ascii="仿宋_GB2312" w:hAnsi="Times New Roman" w:eastAsia="仿宋_GB2312" w:cs="仿宋_GB2312"/>
          <w:sz w:val="32"/>
          <w:szCs w:val="32"/>
          <w:u w:val="single"/>
        </w:rPr>
        <w:t>新疆维吾尔自治区政务服务和公共资源交易中心</w:t>
      </w:r>
      <w:r>
        <w:rPr>
          <w:rFonts w:hint="eastAsia" w:ascii="仿宋_GB2312" w:hAnsi="Times New Roman" w:eastAsia="仿宋_GB2312" w:cs="仿宋_GB2312"/>
          <w:sz w:val="32"/>
          <w:szCs w:val="32"/>
        </w:rPr>
        <w:t>：</w:t>
      </w:r>
    </w:p>
    <w:p w14:paraId="47571257">
      <w:pPr>
        <w:spacing w:line="5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仿宋_GB2312"/>
          <w:sz w:val="32"/>
          <w:szCs w:val="32"/>
        </w:rPr>
        <w:t>我方</w:t>
      </w:r>
      <w:r>
        <w:rPr>
          <w:rFonts w:ascii="仿宋_GB2312" w:hAnsi="Times New Roman" w:eastAsia="仿宋_GB2312" w:cs="仿宋_GB2312"/>
          <w:sz w:val="32"/>
          <w:szCs w:val="32"/>
          <w:u w:val="single"/>
        </w:rPr>
        <w:t xml:space="preserve">      </w:t>
      </w:r>
      <w:r>
        <w:rPr>
          <w:rFonts w:hint="eastAsia" w:ascii="仿宋_GB2312" w:hAnsi="Times New Roman" w:eastAsia="仿宋_GB2312" w:cs="仿宋_GB2312"/>
          <w:sz w:val="32"/>
          <w:szCs w:val="32"/>
          <w:u w:val="single"/>
        </w:rPr>
        <w:t>（×××公司）</w:t>
      </w:r>
      <w:r>
        <w:rPr>
          <w:rFonts w:ascii="仿宋_GB2312" w:hAnsi="Times New Roman" w:eastAsia="仿宋_GB2312" w:cs="仿宋_GB2312"/>
          <w:sz w:val="32"/>
          <w:szCs w:val="32"/>
          <w:u w:val="single"/>
        </w:rPr>
        <w:t xml:space="preserve">      </w:t>
      </w:r>
      <w:r>
        <w:rPr>
          <w:rFonts w:hint="eastAsia" w:ascii="仿宋_GB2312" w:hAnsi="Times New Roman" w:eastAsia="仿宋_GB2312" w:cs="仿宋_GB2312"/>
          <w:sz w:val="32"/>
          <w:szCs w:val="32"/>
        </w:rPr>
        <w:t>，就在新疆维吾尔自治区参加或受委托参加药品和医用耗材集中带量采购、平台挂网、产品配送，及</w:t>
      </w:r>
      <w:r>
        <w:rPr>
          <w:rFonts w:hint="eastAsia" w:ascii="Times New Roman" w:hAnsi="Times New Roman" w:eastAsia="仿宋_GB2312" w:cs="Times New Roman"/>
          <w:sz w:val="32"/>
          <w:szCs w:val="32"/>
        </w:rPr>
        <w:t>区地联动阳光采购和</w:t>
      </w:r>
      <w:r>
        <w:rPr>
          <w:rFonts w:ascii="Times New Roman" w:hAnsi="Times New Roman" w:eastAsia="仿宋_GB2312" w:cs="Times New Roman"/>
          <w:sz w:val="32"/>
          <w:szCs w:val="32"/>
        </w:rPr>
        <w:t>政府办公立医疗机构开展的临时备案采购</w:t>
      </w:r>
      <w:r>
        <w:rPr>
          <w:rFonts w:hint="eastAsia" w:ascii="Times New Roman" w:hAnsi="Times New Roman" w:eastAsia="仿宋_GB2312" w:cs="Times New Roman"/>
          <w:sz w:val="32"/>
          <w:szCs w:val="32"/>
        </w:rPr>
        <w:t>等工作中</w:t>
      </w:r>
      <w:r>
        <w:rPr>
          <w:rFonts w:hint="eastAsia" w:ascii="仿宋_GB2312" w:hAnsi="Times New Roman" w:eastAsia="仿宋_GB2312" w:cs="仿宋_GB2312"/>
          <w:sz w:val="32"/>
          <w:szCs w:val="32"/>
        </w:rPr>
        <w:t>，郑重做出以下承诺：</w:t>
      </w:r>
    </w:p>
    <w:p w14:paraId="02C46EA3">
      <w:pPr>
        <w:spacing w:line="540" w:lineRule="exact"/>
        <w:ind w:firstLine="640" w:firstLineChars="200"/>
        <w:rPr>
          <w:rFonts w:ascii="黑体" w:hAnsi="黑体" w:eastAsia="黑体" w:cs="Times New Roman"/>
          <w:sz w:val="32"/>
          <w:szCs w:val="32"/>
        </w:rPr>
      </w:pPr>
      <w:r>
        <w:rPr>
          <w:rFonts w:hint="eastAsia" w:ascii="黑体" w:hAnsi="黑体" w:eastAsia="黑体" w:cs="黑体"/>
          <w:sz w:val="32"/>
          <w:szCs w:val="32"/>
        </w:rPr>
        <w:t>一、严守法纪、恪守诚信</w:t>
      </w:r>
    </w:p>
    <w:p w14:paraId="0F118DCC">
      <w:pPr>
        <w:spacing w:line="5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仿宋_GB2312"/>
          <w:sz w:val="32"/>
          <w:szCs w:val="32"/>
        </w:rPr>
        <w:t>（一）我方承诺，自觉遵守《</w:t>
      </w:r>
      <w:r>
        <w:rPr>
          <w:rFonts w:hint="eastAsia" w:ascii="仿宋_GB2312" w:hAnsi="Times New Roman" w:eastAsia="仿宋_GB2312" w:cs="仿宋_GB2312"/>
          <w:sz w:val="32"/>
          <w:szCs w:val="32"/>
          <w:lang w:eastAsia="zh-CN"/>
        </w:rPr>
        <w:t>民法典</w:t>
      </w:r>
      <w:r>
        <w:rPr>
          <w:rFonts w:hint="eastAsia" w:ascii="仿宋_GB2312" w:hAnsi="Times New Roman" w:eastAsia="仿宋_GB2312" w:cs="仿宋_GB2312"/>
          <w:sz w:val="32"/>
          <w:szCs w:val="32"/>
        </w:rPr>
        <w:t>》《价格法》《药品管理法》《反不正当竞争法》《反垄断法》等法律法规，医药价格和招标采购的政策，以及相关采购文件之规定，诚信经营，共同营造公平的交易环境。</w:t>
      </w:r>
    </w:p>
    <w:p w14:paraId="73E3E743">
      <w:pPr>
        <w:spacing w:line="5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仿宋_GB2312"/>
          <w:sz w:val="32"/>
          <w:szCs w:val="32"/>
        </w:rPr>
        <w:t>（二）我方承诺，不向采购我方药品（医用耗材）的医疗机构管理人员、采购人员、医师、药师等有关人员给予回扣或其他不正当利益。</w:t>
      </w:r>
    </w:p>
    <w:p w14:paraId="17C90344">
      <w:pPr>
        <w:spacing w:line="5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仿宋_GB2312"/>
          <w:sz w:val="32"/>
          <w:szCs w:val="32"/>
        </w:rPr>
        <w:t>（三）我方承诺，不实施虚开虚受增值税发票及其他形式虚构服务套现洗钱行为。</w:t>
      </w:r>
    </w:p>
    <w:p w14:paraId="65F02839">
      <w:pPr>
        <w:spacing w:line="5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仿宋_GB2312"/>
          <w:sz w:val="32"/>
          <w:szCs w:val="32"/>
        </w:rPr>
        <w:t>（四）我方承诺，不利用药品（医用耗材）垄断地位或市场支配地位，操纵药品（医用耗材）价格和供应牟取暴利。不针对不同群体、不同渠道制定实施明显不合理的差异化定价。</w:t>
      </w:r>
    </w:p>
    <w:p w14:paraId="0CEEF068">
      <w:pPr>
        <w:spacing w:line="540" w:lineRule="exact"/>
        <w:ind w:firstLine="640" w:firstLineChars="200"/>
        <w:rPr>
          <w:rFonts w:ascii="黑体" w:hAnsi="黑体" w:eastAsia="黑体" w:cs="Times New Roman"/>
          <w:sz w:val="32"/>
          <w:szCs w:val="32"/>
        </w:rPr>
      </w:pPr>
      <w:r>
        <w:rPr>
          <w:rFonts w:hint="eastAsia" w:ascii="黑体" w:hAnsi="黑体" w:eastAsia="黑体" w:cs="黑体"/>
          <w:sz w:val="32"/>
          <w:szCs w:val="32"/>
        </w:rPr>
        <w:t>二、履行合同、配合监管</w:t>
      </w:r>
    </w:p>
    <w:p w14:paraId="1E13F44E">
      <w:pPr>
        <w:spacing w:line="5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仿宋_GB2312"/>
          <w:sz w:val="32"/>
          <w:szCs w:val="32"/>
        </w:rPr>
        <w:t>（一）我方承诺，具有履行协议必须具备的药品（医用耗材）供应能力，除我方不可抗的因素造成供应困难外，保证在采购周期按照中标（挂网）价格及时足量供应药品（医用耗材），满足临床需求。</w:t>
      </w:r>
    </w:p>
    <w:p w14:paraId="55DB602F">
      <w:pPr>
        <w:spacing w:line="5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仿宋_GB2312"/>
          <w:sz w:val="32"/>
          <w:szCs w:val="32"/>
        </w:rPr>
        <w:t>（二）我方承诺，遵循公平、合理和诚实信用、质价相符的法定原则定价，将价格与成本、供求合理匹配，保持不同品规、不同区域之间价格平衡，维护价格一定时期内相对稳定。因第三方实施垄断、操纵市场，或要素成本剧烈变化等情形被动提高药品（医用耗材）价格的，我方承诺在上述情形终止后，及时纠正价格。</w:t>
      </w:r>
    </w:p>
    <w:p w14:paraId="023801E1">
      <w:pPr>
        <w:spacing w:line="5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仿宋_GB2312"/>
          <w:sz w:val="32"/>
          <w:szCs w:val="32"/>
        </w:rPr>
        <w:t>（三）我方承诺，及时、全面、完整、规范申报失信信息，不漏报，不瞒报，不推诿。</w:t>
      </w:r>
    </w:p>
    <w:p w14:paraId="24E5A188">
      <w:pPr>
        <w:spacing w:line="540" w:lineRule="exact"/>
        <w:ind w:firstLine="640" w:firstLineChars="200"/>
        <w:rPr>
          <w:rFonts w:ascii="黑体" w:hAnsi="黑体" w:eastAsia="黑体" w:cs="Times New Roman"/>
          <w:sz w:val="32"/>
          <w:szCs w:val="32"/>
        </w:rPr>
      </w:pPr>
      <w:r>
        <w:rPr>
          <w:rFonts w:hint="eastAsia" w:ascii="黑体" w:hAnsi="黑体" w:eastAsia="黑体" w:cs="黑体"/>
          <w:sz w:val="32"/>
          <w:szCs w:val="32"/>
        </w:rPr>
        <w:t>三、违约担责，接受处置</w:t>
      </w:r>
    </w:p>
    <w:p w14:paraId="2F21CBE4">
      <w:pPr>
        <w:spacing w:line="5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仿宋_GB2312"/>
          <w:sz w:val="32"/>
          <w:szCs w:val="32"/>
        </w:rPr>
        <w:t>（一）我方承诺，如我方药品（医用耗材）购销中存在违背已承诺事项的，我方愿意接受集中采购机构作出的信用评级结果以及结合信用等级实施的处置措施。</w:t>
      </w:r>
    </w:p>
    <w:p w14:paraId="78E8F9B2">
      <w:pPr>
        <w:spacing w:line="5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仿宋_GB2312"/>
          <w:sz w:val="32"/>
          <w:szCs w:val="32"/>
        </w:rPr>
        <w:t>（二）我方承诺，严格管理员工（含雇佣关系，以及劳务派遣、购买服务、委托代理等关系），在法律法规允许的范围内从事经营活动。如果我方员工在我方药品（医用耗材）购销中因给予回扣或其他不正当利益的行为，受到司法机关、行政执法机关惩处，我方承诺承担失信违约责任，接受集中采购机构作出的信用评级结果以及结合信用等级实施的处置措施。</w:t>
      </w:r>
    </w:p>
    <w:p w14:paraId="5E194BDD">
      <w:pPr>
        <w:spacing w:line="5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仿宋_GB2312"/>
          <w:sz w:val="32"/>
          <w:szCs w:val="32"/>
        </w:rPr>
        <w:t>（三）我方承诺，严格约束委托代理人（具有委托代理关系的法人和自然人）在法律允许的范围内从事经营活动。如果受我方委托代理人，因涉及我方药品（医用耗材）的回扣等医药商业贿赂行为，受到司法机关、行政执法机关惩处，我方承诺承担失信违约责任，接受集中采购机构作出的信用评级结果以及结合信用等级实施的处置措施。</w:t>
      </w:r>
    </w:p>
    <w:p w14:paraId="7F76207C">
      <w:pPr>
        <w:spacing w:line="54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仿宋_GB2312"/>
          <w:sz w:val="32"/>
          <w:szCs w:val="32"/>
        </w:rPr>
        <w:t>（四）我方承诺，主动维护良好信用，必要时采取切实措施修复信用。</w:t>
      </w:r>
    </w:p>
    <w:p w14:paraId="4191B307">
      <w:pPr>
        <w:spacing w:line="540" w:lineRule="exact"/>
        <w:ind w:firstLine="640" w:firstLineChars="200"/>
        <w:rPr>
          <w:rFonts w:ascii="仿宋_GB2312" w:hAnsi="Times New Roman" w:eastAsia="仿宋_GB2312" w:cs="Times New Roman"/>
          <w:sz w:val="32"/>
          <w:szCs w:val="32"/>
        </w:rPr>
      </w:pPr>
    </w:p>
    <w:p w14:paraId="18866989">
      <w:pPr>
        <w:spacing w:line="540" w:lineRule="exact"/>
        <w:ind w:firstLine="640" w:firstLineChars="200"/>
        <w:rPr>
          <w:rFonts w:ascii="仿宋_GB2312" w:hAnsi="Times New Roman" w:eastAsia="仿宋_GB2312" w:cs="Times New Roman"/>
          <w:sz w:val="32"/>
          <w:szCs w:val="32"/>
        </w:rPr>
      </w:pPr>
    </w:p>
    <w:p w14:paraId="1674BE5A">
      <w:pPr>
        <w:spacing w:line="540" w:lineRule="exact"/>
        <w:ind w:firstLine="640" w:firstLineChars="200"/>
        <w:rPr>
          <w:rFonts w:ascii="仿宋_GB2312" w:hAnsi="Times New Roman" w:eastAsia="仿宋_GB2312" w:cs="仿宋_GB2312"/>
          <w:sz w:val="32"/>
          <w:szCs w:val="32"/>
        </w:rPr>
      </w:pPr>
      <w:r>
        <w:rPr>
          <w:rFonts w:ascii="仿宋_GB2312" w:hAnsi="Times New Roman" w:eastAsia="仿宋_GB2312" w:cs="仿宋_GB2312"/>
          <w:sz w:val="32"/>
          <w:szCs w:val="32"/>
        </w:rPr>
        <w:t xml:space="preserve">                    </w:t>
      </w:r>
      <w:r>
        <w:rPr>
          <w:rFonts w:hint="eastAsia" w:ascii="仿宋_GB2312" w:hAnsi="Times New Roman" w:eastAsia="仿宋_GB2312" w:cs="仿宋_GB2312"/>
          <w:sz w:val="32"/>
          <w:szCs w:val="32"/>
        </w:rPr>
        <w:t>承诺企业</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盖章</w:t>
      </w:r>
      <w:r>
        <w:rPr>
          <w:rFonts w:ascii="仿宋_GB2312" w:hAnsi="Times New Roman" w:eastAsia="仿宋_GB2312" w:cs="仿宋_GB2312"/>
          <w:sz w:val="32"/>
          <w:szCs w:val="32"/>
        </w:rPr>
        <w:t>):</w:t>
      </w:r>
    </w:p>
    <w:p w14:paraId="53573CF4">
      <w:pPr>
        <w:spacing w:line="540" w:lineRule="exact"/>
        <w:ind w:firstLine="640" w:firstLineChars="200"/>
        <w:rPr>
          <w:rFonts w:ascii="仿宋_GB2312" w:hAnsi="Times New Roman" w:eastAsia="仿宋_GB2312" w:cs="仿宋_GB2312"/>
          <w:sz w:val="32"/>
          <w:szCs w:val="32"/>
        </w:rPr>
      </w:pPr>
      <w:r>
        <w:rPr>
          <w:rFonts w:hint="eastAsia" w:ascii="仿宋_GB2312" w:hAnsi="Times New Roman" w:eastAsia="仿宋_GB2312" w:cs="仿宋_GB2312"/>
          <w:sz w:val="32"/>
          <w:szCs w:val="32"/>
        </w:rPr>
        <w:t>　</w:t>
      </w:r>
      <w:r>
        <w:rPr>
          <w:rFonts w:ascii="仿宋_GB2312" w:hAnsi="Times New Roman" w:eastAsia="仿宋_GB2312" w:cs="仿宋_GB2312"/>
          <w:sz w:val="32"/>
          <w:szCs w:val="32"/>
        </w:rPr>
        <w:t xml:space="preserve">                    </w:t>
      </w:r>
    </w:p>
    <w:p w14:paraId="35387C5D">
      <w:pPr>
        <w:spacing w:line="540" w:lineRule="exact"/>
        <w:ind w:firstLine="3840" w:firstLineChars="1200"/>
        <w:rPr>
          <w:rFonts w:ascii="仿宋_GB2312" w:hAnsi="Times New Roman" w:eastAsia="仿宋_GB2312" w:cs="仿宋_GB2312"/>
          <w:sz w:val="32"/>
          <w:szCs w:val="32"/>
        </w:rPr>
      </w:pPr>
      <w:r>
        <w:rPr>
          <w:rFonts w:hint="eastAsia" w:ascii="仿宋_GB2312" w:hAnsi="Times New Roman" w:eastAsia="仿宋_GB2312" w:cs="仿宋_GB2312"/>
          <w:sz w:val="32"/>
          <w:szCs w:val="32"/>
        </w:rPr>
        <w:t>法定代表人（签字）</w:t>
      </w:r>
      <w:r>
        <w:rPr>
          <w:rFonts w:ascii="仿宋_GB2312" w:hAnsi="Times New Roman" w:eastAsia="仿宋_GB2312" w:cs="仿宋_GB2312"/>
          <w:sz w:val="32"/>
          <w:szCs w:val="32"/>
        </w:rPr>
        <w:t>:</w:t>
      </w:r>
    </w:p>
    <w:p w14:paraId="0416C989">
      <w:pPr>
        <w:spacing w:line="540" w:lineRule="exact"/>
        <w:rPr>
          <w:rFonts w:ascii="仿宋_GB2312" w:hAnsi="Times New Roman" w:eastAsia="仿宋_GB2312" w:cs="Times New Roman"/>
          <w:sz w:val="32"/>
          <w:szCs w:val="32"/>
        </w:rPr>
      </w:pPr>
    </w:p>
    <w:p w14:paraId="1A0DA5FB">
      <w:pPr>
        <w:spacing w:line="540" w:lineRule="exact"/>
        <w:ind w:firstLine="5760" w:firstLineChars="1800"/>
        <w:rPr>
          <w:rFonts w:ascii="仿宋_GB2312" w:hAnsi="Times New Roman" w:eastAsia="仿宋_GB2312" w:cs="Times New Roman"/>
          <w:sz w:val="32"/>
          <w:szCs w:val="32"/>
        </w:rPr>
      </w:pPr>
    </w:p>
    <w:p w14:paraId="6C0397B8">
      <w:pPr>
        <w:spacing w:line="540" w:lineRule="exact"/>
        <w:ind w:firstLine="4160" w:firstLineChars="1300"/>
        <w:rPr>
          <w:rFonts w:ascii="仿宋_GB2312" w:hAnsi="Times New Roman" w:eastAsia="仿宋_GB2312" w:cs="Times New Roman"/>
          <w:sz w:val="32"/>
          <w:szCs w:val="32"/>
        </w:rPr>
      </w:pPr>
      <w:r>
        <w:rPr>
          <w:rFonts w:ascii="仿宋_GB2312" w:hAnsi="Times New Roman" w:eastAsia="仿宋_GB2312" w:cs="仿宋_GB2312"/>
          <w:sz w:val="32"/>
          <w:szCs w:val="32"/>
        </w:rPr>
        <w:t>202</w:t>
      </w:r>
      <w:r>
        <w:rPr>
          <w:rFonts w:ascii="仿宋_GB2312" w:hAnsi="Times New Roman" w:eastAsia="仿宋_GB2312" w:cs="仿宋_GB2312"/>
          <w:sz w:val="32"/>
          <w:szCs w:val="32"/>
          <w:u w:val="single"/>
        </w:rPr>
        <w:t xml:space="preserve">  </w:t>
      </w:r>
      <w:r>
        <w:rPr>
          <w:rFonts w:hint="eastAsia" w:ascii="仿宋_GB2312" w:hAnsi="Times New Roman" w:eastAsia="仿宋_GB2312" w:cs="仿宋_GB2312"/>
          <w:sz w:val="32"/>
          <w:szCs w:val="32"/>
        </w:rPr>
        <w:t>年</w:t>
      </w:r>
      <w:r>
        <w:rPr>
          <w:rFonts w:ascii="仿宋_GB2312" w:hAnsi="Times New Roman" w:eastAsia="仿宋_GB2312" w:cs="仿宋_GB2312"/>
          <w:sz w:val="32"/>
          <w:szCs w:val="32"/>
          <w:u w:val="single"/>
        </w:rPr>
        <w:t xml:space="preserve">  </w:t>
      </w:r>
      <w:r>
        <w:rPr>
          <w:rFonts w:hint="eastAsia" w:ascii="仿宋_GB2312" w:hAnsi="Times New Roman" w:eastAsia="仿宋_GB2312" w:cs="仿宋_GB2312"/>
          <w:sz w:val="32"/>
          <w:szCs w:val="32"/>
        </w:rPr>
        <w:t>月</w:t>
      </w:r>
      <w:r>
        <w:rPr>
          <w:rFonts w:ascii="仿宋_GB2312" w:hAnsi="Times New Roman" w:eastAsia="仿宋_GB2312" w:cs="仿宋_GB2312"/>
          <w:sz w:val="32"/>
          <w:szCs w:val="32"/>
          <w:u w:val="single"/>
        </w:rPr>
        <w:t xml:space="preserve">  </w:t>
      </w:r>
      <w:r>
        <w:rPr>
          <w:rFonts w:hint="eastAsia" w:ascii="仿宋_GB2312" w:hAnsi="Times New Roman" w:eastAsia="仿宋_GB2312" w:cs="仿宋_GB2312"/>
          <w:sz w:val="32"/>
          <w:szCs w:val="32"/>
        </w:rPr>
        <w:t>日</w:t>
      </w:r>
    </w:p>
    <w:p w14:paraId="38A8A318">
      <w:pPr>
        <w:spacing w:line="440" w:lineRule="exact"/>
        <w:rPr>
          <w:rFonts w:ascii="仿宋_GB2312" w:eastAsia="仿宋_GB2312" w:cs="Times New Roman"/>
          <w:sz w:val="28"/>
          <w:szCs w:val="28"/>
        </w:rPr>
      </w:pPr>
    </w:p>
    <w:p w14:paraId="1BD4800F">
      <w:pPr>
        <w:spacing w:line="440" w:lineRule="exact"/>
        <w:rPr>
          <w:rFonts w:ascii="仿宋_GB2312" w:eastAsia="仿宋_GB2312" w:cs="Times New Roman"/>
          <w:sz w:val="28"/>
          <w:szCs w:val="28"/>
        </w:rPr>
      </w:pPr>
    </w:p>
    <w:p w14:paraId="792F413E">
      <w:pPr>
        <w:spacing w:line="440" w:lineRule="exact"/>
        <w:rPr>
          <w:rFonts w:ascii="仿宋_GB2312" w:eastAsia="仿宋_GB2312" w:cs="Times New Roman"/>
          <w:sz w:val="28"/>
          <w:szCs w:val="28"/>
        </w:rPr>
      </w:pPr>
    </w:p>
    <w:p w14:paraId="116381A2">
      <w:pPr>
        <w:spacing w:line="440" w:lineRule="exact"/>
        <w:rPr>
          <w:rFonts w:ascii="仿宋_GB2312" w:eastAsia="仿宋_GB2312" w:cs="仿宋_GB2312"/>
          <w:sz w:val="28"/>
          <w:szCs w:val="28"/>
        </w:rPr>
      </w:pPr>
    </w:p>
    <w:p w14:paraId="098DADF7">
      <w:pPr>
        <w:spacing w:line="440" w:lineRule="exact"/>
        <w:rPr>
          <w:rFonts w:ascii="仿宋_GB2312" w:eastAsia="仿宋_GB2312" w:cs="仿宋_GB2312"/>
          <w:sz w:val="28"/>
          <w:szCs w:val="28"/>
        </w:rPr>
      </w:pPr>
    </w:p>
    <w:p w14:paraId="6DF0C7F4">
      <w:pPr>
        <w:spacing w:line="440" w:lineRule="exact"/>
        <w:rPr>
          <w:rFonts w:hint="eastAsia" w:ascii="Times New Roman" w:hAnsi="Times New Roman" w:eastAsia="黑体" w:cs="Times New Roman"/>
          <w:sz w:val="28"/>
          <w:szCs w:val="28"/>
        </w:rPr>
      </w:pPr>
    </w:p>
    <w:p w14:paraId="2BC032EB">
      <w:pPr>
        <w:spacing w:line="440" w:lineRule="exact"/>
        <w:rPr>
          <w:rFonts w:ascii="Times New Roman" w:hAnsi="Times New Roman" w:eastAsia="黑体" w:cs="Times New Roman"/>
          <w:sz w:val="28"/>
          <w:szCs w:val="28"/>
        </w:rPr>
      </w:pPr>
      <w:r>
        <w:rPr>
          <w:rFonts w:ascii="Times New Roman" w:hAnsi="Times New Roman" w:eastAsia="黑体" w:cs="Times New Roman"/>
          <w:sz w:val="28"/>
          <w:szCs w:val="28"/>
        </w:rPr>
        <w:t>填写说明：</w:t>
      </w:r>
    </w:p>
    <w:p w14:paraId="0739F4F1">
      <w:pPr>
        <w:spacing w:line="440" w:lineRule="exact"/>
        <w:rPr>
          <w:rFonts w:ascii="Times New Roman" w:hAnsi="Times New Roman" w:eastAsia="黑体" w:cs="Times New Roman"/>
          <w:sz w:val="28"/>
          <w:szCs w:val="28"/>
        </w:rPr>
      </w:pPr>
      <w:r>
        <w:rPr>
          <w:rFonts w:ascii="Times New Roman" w:hAnsi="Times New Roman" w:eastAsia="黑体" w:cs="Times New Roman"/>
          <w:sz w:val="28"/>
          <w:szCs w:val="28"/>
        </w:rPr>
        <w:t>1.编号规则：CN+</w:t>
      </w:r>
      <w:r>
        <w:rPr>
          <w:rFonts w:ascii="Times New Roman" w:hAnsi="Times New Roman" w:eastAsia="黑体" w:cs="Times New Roman"/>
          <w:color w:val="FF0000"/>
          <w:sz w:val="28"/>
          <w:szCs w:val="28"/>
        </w:rPr>
        <w:t>65</w:t>
      </w:r>
      <w:r>
        <w:rPr>
          <w:rFonts w:ascii="Times New Roman" w:hAnsi="Times New Roman" w:eastAsia="黑体" w:cs="Times New Roman"/>
          <w:sz w:val="28"/>
          <w:szCs w:val="28"/>
        </w:rPr>
        <w:t>+企业码+时间码。其中，企业码采用企业的“统一社会信用代码”。时间码统一按照年/月/日的方式编制（YYYY/MM/DD），以医药企业书面承诺的落款时间为准。</w:t>
      </w:r>
    </w:p>
    <w:p w14:paraId="04896428">
      <w:pPr>
        <w:spacing w:line="440" w:lineRule="exact"/>
        <w:rPr>
          <w:rFonts w:ascii="Times New Roman" w:hAnsi="Times New Roman" w:eastAsia="黑体" w:cs="Times New Roman"/>
          <w:sz w:val="28"/>
          <w:szCs w:val="28"/>
          <w:u w:val="single"/>
        </w:rPr>
      </w:pPr>
      <w:r>
        <w:rPr>
          <w:rFonts w:ascii="Times New Roman" w:hAnsi="Times New Roman" w:eastAsia="黑体" w:cs="Times New Roman"/>
          <w:sz w:val="28"/>
          <w:szCs w:val="28"/>
        </w:rPr>
        <w:t>示例：</w:t>
      </w:r>
      <w:r>
        <w:rPr>
          <w:rFonts w:ascii="Times New Roman" w:hAnsi="Times New Roman" w:eastAsia="黑体" w:cs="Times New Roman"/>
          <w:sz w:val="28"/>
          <w:szCs w:val="28"/>
          <w:u w:val="single"/>
        </w:rPr>
        <w:t>CN65</w:t>
      </w:r>
      <w:r>
        <w:rPr>
          <w:rFonts w:ascii="Times New Roman" w:hAnsi="Times New Roman" w:eastAsia="黑体" w:cs="Times New Roman"/>
          <w:sz w:val="28"/>
          <w:szCs w:val="28"/>
          <w:highlight w:val="green"/>
          <w:u w:val="single"/>
        </w:rPr>
        <w:t>XXXXXXXXXXXXXXXXXX</w:t>
      </w:r>
      <w:r>
        <w:rPr>
          <w:rFonts w:ascii="Times New Roman" w:hAnsi="Times New Roman" w:eastAsia="黑体" w:cs="Times New Roman"/>
          <w:sz w:val="28"/>
          <w:szCs w:val="28"/>
          <w:u w:val="single"/>
        </w:rPr>
        <w:t>20210101</w:t>
      </w:r>
    </w:p>
    <w:p w14:paraId="7A8045F6">
      <w:pPr>
        <w:spacing w:line="440" w:lineRule="exact"/>
        <w:rPr>
          <w:rFonts w:ascii="Times New Roman" w:hAnsi="Times New Roman" w:eastAsia="黑体" w:cs="Times New Roman"/>
          <w:sz w:val="28"/>
          <w:szCs w:val="28"/>
        </w:rPr>
      </w:pPr>
      <w:r>
        <w:rPr>
          <w:rFonts w:ascii="Times New Roman" w:hAnsi="Times New Roman" w:eastAsia="黑体" w:cs="Times New Roman"/>
          <w:sz w:val="28"/>
          <w:szCs w:val="28"/>
        </w:rPr>
        <w:t>2.法定代表人签字并盖企业鲜章。</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6F56E6A"/>
    <w:multiLevelType w:val="multilevel"/>
    <w:tmpl w:val="46F56E6A"/>
    <w:lvl w:ilvl="0" w:tentative="0">
      <w:start w:val="1"/>
      <w:numFmt w:val="chineseCountingThousand"/>
      <w:pStyle w:val="2"/>
      <w:lvlText w:val="第%1章"/>
      <w:lvlJc w:val="left"/>
      <w:pPr>
        <w:ind w:left="420" w:hanging="420"/>
      </w:pPr>
      <w:rPr>
        <w:rFonts w:hint="eastAsia"/>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1" w:tentative="0">
      <w:start w:val="1"/>
      <w:numFmt w:val="decimal"/>
      <w:pStyle w:val="3"/>
      <w:suff w:val="space"/>
      <w:lvlText w:val="%1.%2"/>
      <w:lvlJc w:val="left"/>
      <w:pPr>
        <w:ind w:left="0" w:firstLine="0"/>
      </w:pPr>
      <w:rPr>
        <w:rFonts w:hint="eastAsia" w:ascii="宋体" w:hAnsi="宋体" w:eastAsia="宋体"/>
        <w:b/>
        <w:bCs/>
        <w:i w:val="0"/>
        <w:iCs w:val="0"/>
        <w:vanish w:val="0"/>
        <w:color w:val="auto"/>
        <w:w w:val="100"/>
        <w:sz w:val="24"/>
        <w:szCs w:val="24"/>
        <w:u w:val="none"/>
        <w14:shadow w14:blurRad="0" w14:dist="0" w14:dir="0" w14:sx="0" w14:sy="0" w14:kx="0" w14:ky="0" w14:algn="none">
          <w14:srgbClr w14:val="000000"/>
        </w14:shadow>
      </w:rPr>
    </w:lvl>
    <w:lvl w:ilvl="2" w:tentative="0">
      <w:start w:val="1"/>
      <w:numFmt w:val="decimal"/>
      <w:pStyle w:val="4"/>
      <w:suff w:val="space"/>
      <w:lvlText w:val="%1.%2.%3"/>
      <w:lvlJc w:val="left"/>
      <w:pPr>
        <w:ind w:left="0" w:firstLine="0"/>
      </w:pPr>
      <w:rPr>
        <w:rFonts w:hint="eastAsia" w:ascii="宋体" w:hAnsi="宋体" w:eastAsia="宋体"/>
        <w:b/>
        <w:bCs/>
        <w:i w:val="0"/>
        <w:iCs w:val="0"/>
        <w:vanish w:val="0"/>
        <w:color w:val="auto"/>
        <w:w w:val="100"/>
        <w:sz w:val="24"/>
        <w:szCs w:val="24"/>
        <w:u w:val="none"/>
        <w14:shadow w14:blurRad="0" w14:dist="0" w14:dir="0" w14:sx="0" w14:sy="0" w14:kx="0" w14:ky="0" w14:algn="none">
          <w14:srgbClr w14:val="000000"/>
        </w14:shadow>
      </w:rPr>
    </w:lvl>
    <w:lvl w:ilvl="3" w:tentative="0">
      <w:start w:val="1"/>
      <w:numFmt w:val="decimal"/>
      <w:pStyle w:val="5"/>
      <w:suff w:val="space"/>
      <w:lvlText w:val="%1.%2.%3.%4"/>
      <w:lvlJc w:val="left"/>
      <w:pPr>
        <w:ind w:left="0" w:firstLine="0"/>
      </w:pPr>
      <w:rPr>
        <w:rFonts w:hint="eastAsia" w:ascii="宋体" w:hAnsi="宋体" w:eastAsia="宋体"/>
        <w:b/>
        <w:bCs/>
        <w:i w:val="0"/>
        <w:iCs w:val="0"/>
        <w:vanish w:val="0"/>
        <w:color w:val="auto"/>
        <w:w w:val="100"/>
        <w:sz w:val="21"/>
        <w:szCs w:val="21"/>
        <w:u w:val="none"/>
        <w14:shadow w14:blurRad="0" w14:dist="0" w14:dir="0" w14:sx="0" w14:sy="0" w14:kx="0" w14:ky="0" w14:algn="none">
          <w14:srgbClr w14:val="000000"/>
        </w14:shadow>
      </w:rPr>
    </w:lvl>
    <w:lvl w:ilvl="4" w:tentative="0">
      <w:start w:val="1"/>
      <w:numFmt w:val="decimal"/>
      <w:pStyle w:val="6"/>
      <w:suff w:val="space"/>
      <w:lvlText w:val="5.%2.%3.%4.%5"/>
      <w:lvlJc w:val="left"/>
      <w:pPr>
        <w:ind w:left="850" w:firstLine="0"/>
      </w:pPr>
      <w:rPr>
        <w:rFonts w:hint="eastAsia" w:ascii="宋体" w:hAnsi="宋体" w:eastAsia="宋体"/>
        <w:b/>
        <w:bCs/>
        <w:i w:val="0"/>
        <w:iCs w:val="0"/>
        <w:vanish w:val="0"/>
        <w:color w:val="auto"/>
        <w:w w:val="100"/>
        <w:sz w:val="21"/>
        <w:szCs w:val="21"/>
        <w:u w:val="none"/>
        <w14:shadow w14:blurRad="0" w14:dist="0" w14:dir="0" w14:sx="0" w14:sy="0" w14:kx="0" w14:ky="0" w14:algn="none">
          <w14:srgbClr w14:val="000000"/>
        </w14:shadow>
      </w:rPr>
    </w:lvl>
    <w:lvl w:ilvl="5" w:tentative="0">
      <w:start w:val="1"/>
      <w:numFmt w:val="decimal"/>
      <w:suff w:val="space"/>
      <w:lvlText w:val="%1.%2.%3.%4.%5.%6"/>
      <w:lvlJc w:val="left"/>
      <w:pPr>
        <w:ind w:left="567" w:firstLine="0"/>
      </w:pPr>
      <w:rPr>
        <w:rFonts w:hint="eastAsia" w:ascii="宋体" w:hAnsi="宋体" w:eastAsia="宋体"/>
        <w:b/>
        <w:bCs/>
        <w:i w:val="0"/>
        <w:iCs w:val="0"/>
        <w:vanish w:val="0"/>
        <w:color w:val="auto"/>
        <w:w w:val="100"/>
        <w:sz w:val="21"/>
        <w:szCs w:val="21"/>
        <w:u w:val="none"/>
        <w14:shadow w14:blurRad="0" w14:dist="0" w14:dir="0" w14:sx="0" w14:sy="0" w14:kx="0" w14:ky="0" w14:algn="none">
          <w14:srgbClr w14:val="000000"/>
        </w14:shadow>
      </w:rPr>
    </w:lvl>
    <w:lvl w:ilvl="6" w:tentative="0">
      <w:start w:val="1"/>
      <w:numFmt w:val="decimal"/>
      <w:suff w:val="space"/>
      <w:lvlText w:val="%1.%2.%3.%4.%5.%6.%7"/>
      <w:lvlJc w:val="left"/>
      <w:pPr>
        <w:ind w:left="0" w:firstLine="0"/>
      </w:pPr>
      <w:rPr>
        <w:rFonts w:hint="eastAsia" w:ascii="宋体" w:hAnsi="宋体" w:eastAsia="宋体"/>
        <w:b/>
        <w:bCs/>
        <w:i w:val="0"/>
        <w:iCs w:val="0"/>
        <w:vanish w:val="0"/>
        <w:color w:val="auto"/>
        <w:w w:val="100"/>
        <w:sz w:val="21"/>
        <w:szCs w:val="21"/>
        <w:u w:val="none"/>
        <w14:shadow w14:blurRad="0" w14:dist="0" w14:dir="0" w14:sx="0" w14:sy="0" w14:kx="0" w14:ky="0" w14:algn="none">
          <w14:srgbClr w14:val="000000"/>
        </w14:shadow>
      </w:rPr>
    </w:lvl>
    <w:lvl w:ilvl="7" w:tentative="0">
      <w:start w:val="1"/>
      <w:numFmt w:val="decimal"/>
      <w:suff w:val="space"/>
      <w:lvlText w:val="%1.%2.%3.%4.%5.%6.%7.%8"/>
      <w:lvlJc w:val="left"/>
      <w:pPr>
        <w:ind w:left="0" w:firstLine="0"/>
      </w:pPr>
      <w:rPr>
        <w:rFonts w:hint="eastAsia" w:ascii="宋体" w:hAnsi="宋体" w:eastAsia="宋体"/>
        <w:b/>
        <w:bCs/>
        <w:i w:val="0"/>
        <w:iCs w:val="0"/>
        <w:vanish w:val="0"/>
        <w:color w:val="auto"/>
        <w:w w:val="100"/>
        <w:sz w:val="21"/>
        <w:szCs w:val="21"/>
        <w:u w:val="none"/>
        <w14:shadow w14:blurRad="0" w14:dist="0" w14:dir="0" w14:sx="0" w14:sy="0" w14:kx="0" w14:ky="0" w14:algn="none">
          <w14:srgbClr w14:val="000000"/>
        </w14:shadow>
      </w:rPr>
    </w:lvl>
    <w:lvl w:ilvl="8" w:tentative="0">
      <w:start w:val="1"/>
      <w:numFmt w:val="decimal"/>
      <w:suff w:val="space"/>
      <w:lvlText w:val="%1.%2.%3.%4.%5.%6.%7.%8.%9"/>
      <w:lvlJc w:val="left"/>
      <w:pPr>
        <w:ind w:left="0" w:firstLine="0"/>
      </w:pPr>
      <w:rPr>
        <w:rFonts w:hint="eastAsia" w:ascii="宋体" w:hAnsi="宋体" w:eastAsia="宋体"/>
        <w:b/>
        <w:bCs/>
        <w:i w:val="0"/>
        <w:iCs w:val="0"/>
        <w:vanish w:val="0"/>
        <w:color w:val="auto"/>
        <w:w w:val="100"/>
        <w:sz w:val="21"/>
        <w:szCs w:val="21"/>
        <w:u w:val="none"/>
        <w14:shadow w14:blurRad="0" w14:dist="0" w14:dir="0" w14:sx="0" w14:sy="0" w14:kx="0" w14:ky="0" w14:algn="none">
          <w14:srgbClr w14:val="000000"/>
        </w14:shadow>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FB648DC"/>
    <w:rsid w:val="2FB648DC"/>
    <w:rsid w:val="70C47C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宋体" w:hAnsi="宋体" w:eastAsia="宋体" w:cs="Times New Roman"/>
      <w:sz w:val="24"/>
      <w:szCs w:val="21"/>
      <w:lang w:val="en-US" w:eastAsia="zh-CN" w:bidi="ar-SA"/>
    </w:rPr>
  </w:style>
  <w:style w:type="paragraph" w:styleId="2">
    <w:name w:val="heading 1"/>
    <w:basedOn w:val="1"/>
    <w:next w:val="1"/>
    <w:qFormat/>
    <w:uiPriority w:val="0"/>
    <w:pPr>
      <w:keepNext/>
      <w:keepLines/>
      <w:numPr>
        <w:ilvl w:val="0"/>
        <w:numId w:val="1"/>
      </w:numPr>
      <w:tabs>
        <w:tab w:val="left" w:pos="420"/>
      </w:tabs>
      <w:spacing w:before="50" w:beforeLines="50" w:after="50" w:afterLines="50"/>
      <w:ind w:firstLine="0" w:firstLineChars="0"/>
      <w:jc w:val="left"/>
      <w:outlineLvl w:val="0"/>
    </w:pPr>
    <w:rPr>
      <w:rFonts w:cs="宋体"/>
      <w:b/>
      <w:bCs/>
      <w:kern w:val="44"/>
      <w:sz w:val="28"/>
      <w:szCs w:val="28"/>
    </w:rPr>
  </w:style>
  <w:style w:type="paragraph" w:styleId="3">
    <w:name w:val="heading 2"/>
    <w:basedOn w:val="1"/>
    <w:next w:val="1"/>
    <w:unhideWhenUsed/>
    <w:qFormat/>
    <w:uiPriority w:val="0"/>
    <w:pPr>
      <w:widowControl/>
      <w:numPr>
        <w:ilvl w:val="1"/>
        <w:numId w:val="1"/>
      </w:numPr>
      <w:spacing w:line="480" w:lineRule="auto"/>
      <w:ind w:firstLineChars="0"/>
      <w:jc w:val="left"/>
      <w:outlineLvl w:val="1"/>
    </w:pPr>
    <w:rPr>
      <w:rFonts w:eastAsia="黑体"/>
      <w:bCs/>
      <w:sz w:val="32"/>
      <w:szCs w:val="32"/>
    </w:rPr>
  </w:style>
  <w:style w:type="paragraph" w:styleId="4">
    <w:name w:val="heading 3"/>
    <w:basedOn w:val="1"/>
    <w:next w:val="1"/>
    <w:unhideWhenUsed/>
    <w:qFormat/>
    <w:uiPriority w:val="0"/>
    <w:pPr>
      <w:numPr>
        <w:ilvl w:val="2"/>
        <w:numId w:val="1"/>
      </w:numPr>
      <w:spacing w:line="480" w:lineRule="auto"/>
      <w:ind w:firstLineChars="0"/>
      <w:outlineLvl w:val="2"/>
    </w:pPr>
    <w:rPr>
      <w:rFonts w:cs="宋体"/>
      <w:b/>
      <w:bCs/>
      <w:szCs w:val="32"/>
    </w:rPr>
  </w:style>
  <w:style w:type="paragraph" w:styleId="5">
    <w:name w:val="heading 4"/>
    <w:basedOn w:val="1"/>
    <w:next w:val="1"/>
    <w:unhideWhenUsed/>
    <w:qFormat/>
    <w:uiPriority w:val="9"/>
    <w:pPr>
      <w:keepNext/>
      <w:keepLines/>
      <w:numPr>
        <w:ilvl w:val="3"/>
        <w:numId w:val="1"/>
      </w:numPr>
      <w:ind w:firstLineChars="0"/>
      <w:outlineLvl w:val="3"/>
    </w:pPr>
    <w:rPr>
      <w:rFonts w:ascii="黑体" w:hAnsi="黑体"/>
      <w:b/>
      <w:szCs w:val="22"/>
    </w:rPr>
  </w:style>
  <w:style w:type="paragraph" w:styleId="6">
    <w:name w:val="heading 5"/>
    <w:basedOn w:val="1"/>
    <w:next w:val="1"/>
    <w:unhideWhenUsed/>
    <w:qFormat/>
    <w:uiPriority w:val="9"/>
    <w:pPr>
      <w:keepNext/>
      <w:keepLines/>
      <w:numPr>
        <w:ilvl w:val="4"/>
        <w:numId w:val="1"/>
      </w:numPr>
      <w:spacing w:line="480" w:lineRule="auto"/>
      <w:ind w:firstLineChars="0"/>
      <w:jc w:val="left"/>
      <w:outlineLvl w:val="4"/>
    </w:pPr>
    <w:rPr>
      <w:rFonts w:cs="宋体"/>
      <w:b/>
      <w:bCs/>
      <w:szCs w:val="24"/>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7">
    <w:name w:val="Body Text"/>
    <w:basedOn w:val="1"/>
    <w:qFormat/>
    <w:uiPriority w:val="0"/>
    <w:pPr>
      <w:spacing w:after="120"/>
    </w:pPr>
  </w:style>
  <w:style w:type="paragraph" w:styleId="8">
    <w:name w:val="Body Text First Indent"/>
    <w:basedOn w:val="7"/>
    <w:qFormat/>
    <w:uiPriority w:val="0"/>
    <w:pPr>
      <w:ind w:firstLine="880"/>
    </w:pPr>
  </w:style>
  <w:style w:type="paragraph" w:customStyle="1" w:styleId="11">
    <w:name w:val="文内正文"/>
    <w:basedOn w:val="12"/>
    <w:qFormat/>
    <w:uiPriority w:val="0"/>
    <w:pPr>
      <w:widowControl/>
      <w:ind w:firstLine="200"/>
      <w:jc w:val="left"/>
    </w:pPr>
    <w:rPr>
      <w:rFonts w:cs="宋体"/>
      <w:sz w:val="21"/>
      <w:szCs w:val="24"/>
    </w:rPr>
  </w:style>
  <w:style w:type="paragraph" w:styleId="12">
    <w:name w:val="List Paragraph"/>
    <w:basedOn w:val="1"/>
    <w:qFormat/>
    <w:uiPriority w:val="34"/>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838</Words>
  <Characters>854</Characters>
  <Lines>0</Lines>
  <Paragraphs>0</Paragraphs>
  <TotalTime>0</TotalTime>
  <ScaleCrop>false</ScaleCrop>
  <LinksUpToDate>false</LinksUpToDate>
  <CharactersWithSpaces>869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2025-04-09T09:45:00Z</dcterms:created>
  <dc:creator>杨磊</dc:creator>
  <cp:lastModifiedBy>杨磊</cp:lastModifiedBy>
  <dcterms:modified xsi:type="dcterms:W3CDTF">2025-04-09T10:46:58Z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C8A5888357964DF881AFBA4EFE24AAC3_13</vt:lpwstr>
  </property>
  <property fmtid="{D5CDD505-2E9C-101B-9397-08002B2CF9AE}" pid="4" name="KSOTemplateDocerSaveRecord">
    <vt:lpwstr>eyJoZGlkIjoiNjdiZjgwNjgwYjg2N2Y1YTJiZjUzY2QwZGZjNDA1YWYiLCJ1c2VySWQiOiIxNDUxOTU4NTQ2In0=</vt:lpwstr>
  </property>
</Properties>
</file>